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highlight w:val="white"/>
          <w:u w:val="single"/>
        </w:rPr>
      </w:pPr>
      <w:r w:rsidDel="00000000" w:rsidR="00000000" w:rsidRPr="00000000">
        <w:rPr>
          <w:highlight w:val="white"/>
          <w:u w:val="single"/>
          <w:rtl w:val="0"/>
        </w:rPr>
        <w:t xml:space="preserve">Recurs per a suspensió de llançament per manca d'oferta de lloguer social en cas d'impagament de lloguer</w:t>
      </w:r>
    </w:p>
    <w:p w:rsidR="00000000" w:rsidDel="00000000" w:rsidP="00000000" w:rsidRDefault="00000000" w:rsidRPr="00000000" w14:paraId="00000002">
      <w:pPr>
        <w:spacing w:line="276" w:lineRule="auto"/>
        <w:rPr>
          <w:highlight w:val="white"/>
        </w:rPr>
      </w:pPr>
      <w:r w:rsidDel="00000000" w:rsidR="00000000" w:rsidRPr="00000000">
        <w:rPr>
          <w:rtl w:val="0"/>
        </w:rPr>
      </w:r>
    </w:p>
    <w:p w:rsidR="00000000" w:rsidDel="00000000" w:rsidP="00000000" w:rsidRDefault="00000000" w:rsidRPr="00000000" w14:paraId="00000003">
      <w:pPr>
        <w:spacing w:after="200" w:before="240" w:line="276" w:lineRule="auto"/>
        <w:jc w:val="both"/>
        <w:rPr>
          <w:b w:val="1"/>
          <w:color w:val="00b050"/>
          <w:highlight w:val="white"/>
        </w:rPr>
      </w:pPr>
      <w:r w:rsidDel="00000000" w:rsidR="00000000" w:rsidRPr="00000000">
        <w:rPr>
          <w:b w:val="1"/>
          <w:highlight w:val="white"/>
          <w:rtl w:val="0"/>
        </w:rPr>
        <w:t xml:space="preserve">Jutjat de Primera Instància </w:t>
      </w:r>
      <w:r w:rsidDel="00000000" w:rsidR="00000000" w:rsidRPr="00000000">
        <w:rPr>
          <w:b w:val="1"/>
          <w:color w:val="00b050"/>
          <w:highlight w:val="white"/>
          <w:rtl w:val="0"/>
        </w:rPr>
        <w:t xml:space="preserve">núm. XX </w:t>
      </w:r>
      <w:r w:rsidDel="00000000" w:rsidR="00000000" w:rsidRPr="00000000">
        <w:rPr>
          <w:b w:val="1"/>
          <w:highlight w:val="white"/>
          <w:rtl w:val="0"/>
        </w:rPr>
        <w:t xml:space="preserve">de</w:t>
      </w:r>
      <w:r w:rsidDel="00000000" w:rsidR="00000000" w:rsidRPr="00000000">
        <w:rPr>
          <w:b w:val="1"/>
          <w:color w:val="0066ff"/>
          <w:highlight w:val="white"/>
          <w:rtl w:val="0"/>
        </w:rPr>
        <w:t xml:space="preserve"> </w:t>
      </w:r>
      <w:r w:rsidDel="00000000" w:rsidR="00000000" w:rsidRPr="00000000">
        <w:rPr>
          <w:b w:val="1"/>
          <w:color w:val="00b050"/>
          <w:highlight w:val="white"/>
          <w:rtl w:val="0"/>
        </w:rPr>
        <w:t xml:space="preserve">Localitat</w:t>
      </w:r>
    </w:p>
    <w:p w:rsidR="00000000" w:rsidDel="00000000" w:rsidP="00000000" w:rsidRDefault="00000000" w:rsidRPr="00000000" w14:paraId="00000004">
      <w:pPr>
        <w:spacing w:after="200" w:before="240" w:line="276" w:lineRule="auto"/>
        <w:jc w:val="both"/>
        <w:rPr>
          <w:color w:val="00b050"/>
          <w:highlight w:val="white"/>
        </w:rPr>
      </w:pPr>
      <w:r w:rsidDel="00000000" w:rsidR="00000000" w:rsidRPr="00000000">
        <w:rPr>
          <w:highlight w:val="white"/>
          <w:rtl w:val="0"/>
        </w:rPr>
        <w:t xml:space="preserve">Judici Núm. </w:t>
      </w:r>
      <w:r w:rsidDel="00000000" w:rsidR="00000000" w:rsidRPr="00000000">
        <w:rPr>
          <w:color w:val="00b050"/>
          <w:highlight w:val="white"/>
          <w:rtl w:val="0"/>
        </w:rPr>
        <w:t xml:space="preserve">Número del Procediment</w:t>
      </w:r>
    </w:p>
    <w:p w:rsidR="00000000" w:rsidDel="00000000" w:rsidP="00000000" w:rsidRDefault="00000000" w:rsidRPr="00000000" w14:paraId="00000005">
      <w:pPr>
        <w:spacing w:after="240" w:before="240" w:line="276" w:lineRule="auto"/>
        <w:rPr>
          <w:highlight w:val="white"/>
        </w:rPr>
      </w:pPr>
      <w:r w:rsidDel="00000000" w:rsidR="00000000" w:rsidRPr="00000000">
        <w:rPr>
          <w:highlight w:val="white"/>
          <w:rtl w:val="0"/>
        </w:rPr>
        <w:t xml:space="preserve"> </w:t>
      </w:r>
    </w:p>
    <w:p w:rsidR="00000000" w:rsidDel="00000000" w:rsidP="00000000" w:rsidRDefault="00000000" w:rsidRPr="00000000" w14:paraId="00000006">
      <w:pPr>
        <w:spacing w:after="200" w:before="240" w:line="276" w:lineRule="auto"/>
        <w:jc w:val="center"/>
        <w:rPr>
          <w:b w:val="1"/>
          <w:sz w:val="28"/>
          <w:szCs w:val="28"/>
          <w:highlight w:val="white"/>
        </w:rPr>
      </w:pPr>
      <w:r w:rsidDel="00000000" w:rsidR="00000000" w:rsidRPr="00000000">
        <w:rPr>
          <w:b w:val="1"/>
          <w:sz w:val="28"/>
          <w:szCs w:val="28"/>
          <w:highlight w:val="white"/>
          <w:rtl w:val="0"/>
        </w:rPr>
        <w:t xml:space="preserve">AL JUTJAT</w:t>
      </w:r>
    </w:p>
    <w:p w:rsidR="00000000" w:rsidDel="00000000" w:rsidP="00000000" w:rsidRDefault="00000000" w:rsidRPr="00000000" w14:paraId="00000007">
      <w:pPr>
        <w:spacing w:after="200" w:before="240" w:line="276" w:lineRule="auto"/>
        <w:jc w:val="both"/>
        <w:rPr>
          <w:b w:val="1"/>
          <w:highlight w:val="white"/>
        </w:rPr>
      </w:pPr>
      <w:r w:rsidDel="00000000" w:rsidR="00000000" w:rsidRPr="00000000">
        <w:rPr>
          <w:color w:val="00b050"/>
          <w:highlight w:val="white"/>
          <w:rtl w:val="0"/>
        </w:rPr>
        <w:t xml:space="preserve">Nom</w:t>
      </w:r>
      <w:r w:rsidDel="00000000" w:rsidR="00000000" w:rsidRPr="00000000">
        <w:rPr>
          <w:color w:val="00b050"/>
          <w:highlight w:val="white"/>
          <w:rtl w:val="0"/>
        </w:rPr>
        <w:t xml:space="preserve"> afectat/da </w:t>
      </w:r>
      <w:r w:rsidDel="00000000" w:rsidR="00000000" w:rsidRPr="00000000">
        <w:rPr>
          <w:highlight w:val="white"/>
          <w:rtl w:val="0"/>
        </w:rPr>
        <w:t xml:space="preserve">, amb DNI </w:t>
      </w:r>
      <w:r w:rsidDel="00000000" w:rsidR="00000000" w:rsidRPr="00000000">
        <w:rPr>
          <w:color w:val="00b050"/>
          <w:highlight w:val="white"/>
          <w:rtl w:val="0"/>
        </w:rPr>
        <w:t xml:space="preserve">xxxxxxx </w:t>
      </w:r>
      <w:r w:rsidDel="00000000" w:rsidR="00000000" w:rsidRPr="00000000">
        <w:rPr>
          <w:highlight w:val="white"/>
          <w:rtl w:val="0"/>
        </w:rPr>
        <w:t xml:space="preserve">, en número propi i dret, amb domicili a efectes de notificacions al </w:t>
      </w:r>
      <w:r w:rsidDel="00000000" w:rsidR="00000000" w:rsidRPr="00000000">
        <w:rPr>
          <w:color w:val="00b050"/>
          <w:highlight w:val="white"/>
          <w:rtl w:val="0"/>
        </w:rPr>
        <w:t xml:space="preserve">carrer número pis </w:t>
      </w:r>
      <w:r w:rsidDel="00000000" w:rsidR="00000000" w:rsidRPr="00000000">
        <w:rPr>
          <w:highlight w:val="white"/>
          <w:rtl w:val="0"/>
        </w:rPr>
        <w:t xml:space="preserve">, </w:t>
      </w:r>
      <w:r w:rsidDel="00000000" w:rsidR="00000000" w:rsidRPr="00000000">
        <w:rPr>
          <w:color w:val="00b050"/>
          <w:highlight w:val="white"/>
          <w:rtl w:val="0"/>
        </w:rPr>
        <w:t xml:space="preserve">CP XXXXX </w:t>
      </w:r>
      <w:r w:rsidDel="00000000" w:rsidR="00000000" w:rsidRPr="00000000">
        <w:rPr>
          <w:highlight w:val="white"/>
          <w:rtl w:val="0"/>
        </w:rPr>
        <w:t xml:space="preserve">, </w:t>
      </w:r>
      <w:r w:rsidDel="00000000" w:rsidR="00000000" w:rsidRPr="00000000">
        <w:rPr>
          <w:color w:val="00b050"/>
          <w:highlight w:val="white"/>
          <w:rtl w:val="0"/>
        </w:rPr>
        <w:t xml:space="preserve">localitat </w:t>
      </w:r>
      <w:r w:rsidDel="00000000" w:rsidR="00000000" w:rsidRPr="00000000">
        <w:rPr>
          <w:highlight w:val="white"/>
          <w:rtl w:val="0"/>
        </w:rPr>
        <w:t xml:space="preserve">, davant del Jutjat compareix i com millor procedeix en Dret, </w:t>
      </w:r>
      <w:r w:rsidDel="00000000" w:rsidR="00000000" w:rsidRPr="00000000">
        <w:rPr>
          <w:b w:val="1"/>
          <w:highlight w:val="white"/>
          <w:rtl w:val="0"/>
        </w:rPr>
        <w:t xml:space="preserve">DIGO:</w:t>
      </w:r>
    </w:p>
    <w:p w:rsidR="00000000" w:rsidDel="00000000" w:rsidP="00000000" w:rsidRDefault="00000000" w:rsidRPr="00000000" w14:paraId="00000008">
      <w:pPr>
        <w:spacing w:after="200" w:before="240" w:line="276" w:lineRule="auto"/>
        <w:jc w:val="both"/>
        <w:rPr>
          <w:highlight w:val="white"/>
        </w:rPr>
      </w:pPr>
      <w:r w:rsidDel="00000000" w:rsidR="00000000" w:rsidRPr="00000000">
        <w:rPr>
          <w:highlight w:val="white"/>
          <w:rtl w:val="0"/>
        </w:rPr>
        <w:t xml:space="preserve">Que, en data 29 de juliol de 2015, el Parlament de Catalunya va aprovar la Llei 24/2015, de mesures urgents per afrontar l’emergència a l'àmbit de l'habitatge i la pobresa energètica, publicada al Diari Oficial de la Generalitat de Catalunya dia 5 d'agost del 2015. I actualment es troba en vigor després del desistiment parcial del recurs d'inconstitucionalitat núm. 2501-2016 acordat al Consell de Ministres de 2 de novembre de 2018 i la seva publicació al BOE.</w:t>
      </w:r>
    </w:p>
    <w:p w:rsidR="00000000" w:rsidDel="00000000" w:rsidP="00000000" w:rsidRDefault="00000000" w:rsidRPr="00000000" w14:paraId="00000009">
      <w:pPr>
        <w:spacing w:after="200" w:before="240" w:line="276" w:lineRule="auto"/>
        <w:jc w:val="both"/>
        <w:rPr>
          <w:highlight w:val="white"/>
        </w:rPr>
      </w:pPr>
      <w:r w:rsidDel="00000000" w:rsidR="00000000" w:rsidRPr="00000000">
        <w:rPr>
          <w:highlight w:val="white"/>
          <w:rtl w:val="0"/>
        </w:rPr>
        <w:t xml:space="preserve">Que, en data 23 de Febrer de 2022 , el Parlament de Catalunya va aprovar la Llei 1/2022, del 03 de Març de 2022 , d'Ampliació de les mesures urgents per afrontar l’emergència habitacional que modifica la Llei 24/2015, de 29 de juliol.</w:t>
      </w:r>
    </w:p>
    <w:p w:rsidR="00000000" w:rsidDel="00000000" w:rsidP="00000000" w:rsidRDefault="00000000" w:rsidRPr="00000000" w14:paraId="0000000A">
      <w:pPr>
        <w:spacing w:after="200" w:before="240" w:line="276" w:lineRule="auto"/>
        <w:jc w:val="both"/>
        <w:rPr>
          <w:highlight w:val="white"/>
        </w:rPr>
      </w:pPr>
      <w:r w:rsidDel="00000000" w:rsidR="00000000" w:rsidRPr="00000000">
        <w:rPr>
          <w:highlight w:val="white"/>
          <w:rtl w:val="0"/>
        </w:rPr>
        <w:t xml:space="preserve">Que mitjançant aquest escrit interessem la suspensió immediata de les presents actuacions, en base als següents</w:t>
      </w:r>
    </w:p>
    <w:p w:rsidR="00000000" w:rsidDel="00000000" w:rsidP="00000000" w:rsidRDefault="00000000" w:rsidRPr="00000000" w14:paraId="0000000B">
      <w:pPr>
        <w:spacing w:after="200" w:before="240" w:line="276" w:lineRule="auto"/>
        <w:jc w:val="center"/>
        <w:rPr>
          <w:b w:val="1"/>
          <w:highlight w:val="white"/>
        </w:rPr>
      </w:pPr>
      <w:r w:rsidDel="00000000" w:rsidR="00000000" w:rsidRPr="00000000">
        <w:rPr>
          <w:b w:val="1"/>
          <w:highlight w:val="white"/>
          <w:rtl w:val="0"/>
        </w:rPr>
        <w:t xml:space="preserve">FETS</w:t>
      </w:r>
    </w:p>
    <w:p w:rsidR="00000000" w:rsidDel="00000000" w:rsidP="00000000" w:rsidRDefault="00000000" w:rsidRPr="00000000" w14:paraId="0000000C">
      <w:pPr>
        <w:spacing w:after="200" w:before="240" w:line="276" w:lineRule="auto"/>
        <w:jc w:val="both"/>
        <w:rPr>
          <w:b w:val="1"/>
          <w:highlight w:val="white"/>
        </w:rPr>
      </w:pPr>
      <w:r w:rsidDel="00000000" w:rsidR="00000000" w:rsidRPr="00000000">
        <w:rPr>
          <w:b w:val="1"/>
          <w:highlight w:val="white"/>
          <w:rtl w:val="0"/>
        </w:rPr>
        <w:t xml:space="preserve">Primer.- Situació d'emergència habitacional</w:t>
      </w:r>
    </w:p>
    <w:p w:rsidR="00000000" w:rsidDel="00000000" w:rsidP="00000000" w:rsidRDefault="00000000" w:rsidRPr="00000000" w14:paraId="0000000D">
      <w:pPr>
        <w:spacing w:after="200" w:before="240" w:line="276" w:lineRule="auto"/>
        <w:jc w:val="both"/>
        <w:rPr>
          <w:highlight w:val="white"/>
        </w:rPr>
      </w:pPr>
      <w:r w:rsidDel="00000000" w:rsidR="00000000" w:rsidRPr="00000000">
        <w:rPr>
          <w:highlight w:val="white"/>
          <w:rtl w:val="0"/>
        </w:rPr>
        <w:t xml:space="preserve">Des de l'any </w:t>
      </w:r>
      <w:r w:rsidDel="00000000" w:rsidR="00000000" w:rsidRPr="00000000">
        <w:rPr>
          <w:color w:val="00b050"/>
          <w:highlight w:val="white"/>
          <w:rtl w:val="0"/>
        </w:rPr>
        <w:t xml:space="preserve">XXXX </w:t>
      </w:r>
      <w:r w:rsidDel="00000000" w:rsidR="00000000" w:rsidRPr="00000000">
        <w:rPr>
          <w:highlight w:val="white"/>
          <w:rtl w:val="0"/>
        </w:rPr>
        <w:t xml:space="preserve">la nostra residència habitual es troba al pis </w:t>
      </w:r>
      <w:r w:rsidDel="00000000" w:rsidR="00000000" w:rsidRPr="00000000">
        <w:rPr>
          <w:color w:val="00b050"/>
          <w:highlight w:val="white"/>
          <w:rtl w:val="0"/>
        </w:rPr>
        <w:t xml:space="preserve">XX </w:t>
      </w:r>
      <w:r w:rsidDel="00000000" w:rsidR="00000000" w:rsidRPr="00000000">
        <w:rPr>
          <w:highlight w:val="white"/>
          <w:rtl w:val="0"/>
        </w:rPr>
        <w:t xml:space="preserve">del carrer </w:t>
      </w:r>
      <w:r w:rsidDel="00000000" w:rsidR="00000000" w:rsidRPr="00000000">
        <w:rPr>
          <w:color w:val="00b050"/>
          <w:highlight w:val="white"/>
          <w:rtl w:val="0"/>
        </w:rPr>
        <w:t xml:space="preserve">XXXXXXXX </w:t>
      </w:r>
      <w:r w:rsidDel="00000000" w:rsidR="00000000" w:rsidRPr="00000000">
        <w:rPr>
          <w:highlight w:val="white"/>
          <w:rtl w:val="0"/>
        </w:rPr>
        <w:t xml:space="preserve">, núm. </w:t>
      </w:r>
      <w:r w:rsidDel="00000000" w:rsidR="00000000" w:rsidRPr="00000000">
        <w:rPr>
          <w:color w:val="00b050"/>
          <w:highlight w:val="white"/>
          <w:rtl w:val="0"/>
        </w:rPr>
        <w:t xml:space="preserve">XXX </w:t>
      </w:r>
      <w:r w:rsidDel="00000000" w:rsidR="00000000" w:rsidRPr="00000000">
        <w:rPr>
          <w:highlight w:val="white"/>
          <w:rtl w:val="0"/>
        </w:rPr>
        <w:t xml:space="preserve">, de </w:t>
      </w:r>
      <w:r w:rsidDel="00000000" w:rsidR="00000000" w:rsidRPr="00000000">
        <w:rPr>
          <w:color w:val="00b050"/>
          <w:highlight w:val="white"/>
          <w:rtl w:val="0"/>
        </w:rPr>
        <w:t xml:space="preserve">localitat </w:t>
      </w:r>
      <w:r w:rsidDel="00000000" w:rsidR="00000000" w:rsidRPr="00000000">
        <w:rPr>
          <w:highlight w:val="white"/>
          <w:rtl w:val="0"/>
        </w:rPr>
        <w:t xml:space="preserve">.</w:t>
      </w:r>
    </w:p>
    <w:p w:rsidR="00000000" w:rsidDel="00000000" w:rsidP="00000000" w:rsidRDefault="00000000" w:rsidRPr="00000000" w14:paraId="0000000E">
      <w:pPr>
        <w:spacing w:after="200" w:before="240" w:line="276" w:lineRule="auto"/>
        <w:jc w:val="both"/>
        <w:rPr>
          <w:highlight w:val="white"/>
        </w:rPr>
      </w:pPr>
      <w:r w:rsidDel="00000000" w:rsidR="00000000" w:rsidRPr="00000000">
        <w:rPr>
          <w:highlight w:val="white"/>
          <w:rtl w:val="0"/>
        </w:rPr>
        <w:t xml:space="preserve">Els ingressos familiars s'han vist greument afectats a causa de la prolongada crisi econòmica que viu el país, cosa que ha impossibilitat fer front als pagaments de les quotes mensuals de lloguer.</w:t>
      </w:r>
    </w:p>
    <w:p w:rsidR="00000000" w:rsidDel="00000000" w:rsidP="00000000" w:rsidRDefault="00000000" w:rsidRPr="00000000" w14:paraId="0000000F">
      <w:pPr>
        <w:spacing w:after="200" w:before="240" w:line="276" w:lineRule="auto"/>
        <w:jc w:val="both"/>
        <w:rPr>
          <w:highlight w:val="white"/>
        </w:rPr>
      </w:pPr>
      <w:r w:rsidDel="00000000" w:rsidR="00000000" w:rsidRPr="00000000">
        <w:rPr>
          <w:highlight w:val="white"/>
          <w:rtl w:val="0"/>
        </w:rPr>
        <w:t xml:space="preserve">En data </w:t>
      </w:r>
      <w:r w:rsidDel="00000000" w:rsidR="00000000" w:rsidRPr="00000000">
        <w:rPr>
          <w:color w:val="00b050"/>
          <w:highlight w:val="white"/>
          <w:rtl w:val="0"/>
        </w:rPr>
        <w:t xml:space="preserve">xxxxxx </w:t>
      </w:r>
      <w:r w:rsidDel="00000000" w:rsidR="00000000" w:rsidRPr="00000000">
        <w:rPr>
          <w:highlight w:val="white"/>
          <w:rtl w:val="0"/>
        </w:rPr>
        <w:t xml:space="preserve">, em va ser notificada demanda de procediment </w:t>
      </w:r>
      <w:r w:rsidDel="00000000" w:rsidR="00000000" w:rsidRPr="00000000">
        <w:rPr>
          <w:color w:val="00b050"/>
          <w:highlight w:val="white"/>
          <w:rtl w:val="0"/>
        </w:rPr>
        <w:t xml:space="preserve">de desnonament per impagament de lloguer </w:t>
      </w:r>
      <w:r w:rsidDel="00000000" w:rsidR="00000000" w:rsidRPr="00000000">
        <w:rPr>
          <w:highlight w:val="white"/>
          <w:rtl w:val="0"/>
        </w:rPr>
        <w:t xml:space="preserve">núm. </w:t>
      </w:r>
      <w:r w:rsidDel="00000000" w:rsidR="00000000" w:rsidRPr="00000000">
        <w:rPr>
          <w:color w:val="00b050"/>
          <w:highlight w:val="white"/>
          <w:rtl w:val="0"/>
        </w:rPr>
        <w:t xml:space="preserve">XXXXX </w:t>
      </w:r>
      <w:r w:rsidDel="00000000" w:rsidR="00000000" w:rsidRPr="00000000">
        <w:rPr>
          <w:highlight w:val="white"/>
          <w:rtl w:val="0"/>
        </w:rPr>
        <w:t xml:space="preserve">, instada per l'actriu </w:t>
      </w:r>
      <w:r w:rsidDel="00000000" w:rsidR="00000000" w:rsidRPr="00000000">
        <w:rPr>
          <w:color w:val="00b050"/>
          <w:highlight w:val="white"/>
          <w:rtl w:val="0"/>
        </w:rPr>
        <w:t xml:space="preserve">(nombre demandant) </w:t>
      </w:r>
      <w:r w:rsidDel="00000000" w:rsidR="00000000" w:rsidRPr="00000000">
        <w:rPr>
          <w:highlight w:val="white"/>
          <w:rtl w:val="0"/>
        </w:rPr>
        <w:t xml:space="preserve">. Com a conseqüència d'aquest procediment em va ser notificada diligència de </w:t>
      </w:r>
      <w:r w:rsidDel="00000000" w:rsidR="00000000" w:rsidRPr="00000000">
        <w:rPr>
          <w:highlight w:val="white"/>
          <w:u w:val="single"/>
          <w:rtl w:val="0"/>
        </w:rPr>
        <w:t xml:space="preserve">desnonament assenyalat </w:t>
      </w:r>
      <w:r w:rsidDel="00000000" w:rsidR="00000000" w:rsidRPr="00000000">
        <w:rPr>
          <w:highlight w:val="white"/>
          <w:rtl w:val="0"/>
        </w:rPr>
        <w:t xml:space="preserve">per al dia </w:t>
      </w:r>
      <w:r w:rsidDel="00000000" w:rsidR="00000000" w:rsidRPr="00000000">
        <w:rPr>
          <w:color w:val="00b050"/>
          <w:highlight w:val="white"/>
          <w:rtl w:val="0"/>
        </w:rPr>
        <w:t xml:space="preserve">XXX </w:t>
      </w:r>
      <w:r w:rsidDel="00000000" w:rsidR="00000000" w:rsidRPr="00000000">
        <w:rPr>
          <w:highlight w:val="white"/>
          <w:rtl w:val="0"/>
        </w:rPr>
        <w:t xml:space="preserve">de </w:t>
      </w:r>
      <w:r w:rsidDel="00000000" w:rsidR="00000000" w:rsidRPr="00000000">
        <w:rPr>
          <w:color w:val="00b050"/>
          <w:highlight w:val="white"/>
          <w:rtl w:val="0"/>
        </w:rPr>
        <w:t xml:space="preserve">XXX </w:t>
      </w:r>
      <w:r w:rsidDel="00000000" w:rsidR="00000000" w:rsidRPr="00000000">
        <w:rPr>
          <w:highlight w:val="white"/>
          <w:rtl w:val="0"/>
        </w:rPr>
        <w:t xml:space="preserve">.</w:t>
      </w:r>
    </w:p>
    <w:p w:rsidR="00000000" w:rsidDel="00000000" w:rsidP="00000000" w:rsidRDefault="00000000" w:rsidRPr="00000000" w14:paraId="00000010">
      <w:pPr>
        <w:spacing w:after="200" w:before="240" w:line="276" w:lineRule="auto"/>
        <w:jc w:val="both"/>
        <w:rPr>
          <w:b w:val="1"/>
          <w:highlight w:val="white"/>
        </w:rPr>
      </w:pPr>
      <w:r w:rsidDel="00000000" w:rsidR="00000000" w:rsidRPr="00000000">
        <w:rPr>
          <w:b w:val="1"/>
          <w:highlight w:val="white"/>
          <w:rtl w:val="0"/>
        </w:rPr>
        <w:t xml:space="preserve">Segon.- Situació de la unitat familiar</w:t>
      </w:r>
    </w:p>
    <w:p w:rsidR="00000000" w:rsidDel="00000000" w:rsidP="00000000" w:rsidRDefault="00000000" w:rsidRPr="00000000" w14:paraId="00000011">
      <w:pPr>
        <w:spacing w:after="120" w:before="240" w:line="276" w:lineRule="auto"/>
        <w:jc w:val="both"/>
        <w:rPr>
          <w:highlight w:val="white"/>
        </w:rPr>
      </w:pPr>
      <w:r w:rsidDel="00000000" w:rsidR="00000000" w:rsidRPr="00000000">
        <w:rPr>
          <w:highlight w:val="white"/>
          <w:rtl w:val="0"/>
        </w:rPr>
        <w:t xml:space="preserve">La unitat familiar que habita la vivenda està formada per:</w:t>
      </w:r>
    </w:p>
    <w:p w:rsidR="00000000" w:rsidDel="00000000" w:rsidP="00000000" w:rsidRDefault="00000000" w:rsidRPr="00000000" w14:paraId="00000012">
      <w:pPr>
        <w:spacing w:after="120" w:before="240" w:line="276" w:lineRule="auto"/>
        <w:jc w:val="both"/>
        <w:rPr>
          <w:color w:val="00b050"/>
          <w:highlight w:val="white"/>
        </w:rPr>
      </w:pPr>
      <w:r w:rsidDel="00000000" w:rsidR="00000000" w:rsidRPr="00000000">
        <w:rPr>
          <w:color w:val="00b050"/>
          <w:highlight w:val="white"/>
          <w:rtl w:val="0"/>
        </w:rPr>
        <w:t xml:space="preserve">(explicar qui integra la unitat familiar, indicar circumstàncies de salut i adjuntar documents)</w:t>
      </w:r>
    </w:p>
    <w:p w:rsidR="00000000" w:rsidDel="00000000" w:rsidP="00000000" w:rsidRDefault="00000000" w:rsidRPr="00000000" w14:paraId="00000013">
      <w:pPr>
        <w:spacing w:after="120" w:before="240" w:line="276" w:lineRule="auto"/>
        <w:jc w:val="both"/>
        <w:rPr>
          <w:highlight w:val="white"/>
        </w:rPr>
      </w:pPr>
      <w:r w:rsidDel="00000000" w:rsidR="00000000" w:rsidRPr="00000000">
        <w:rPr>
          <w:highlight w:val="white"/>
          <w:rtl w:val="0"/>
        </w:rPr>
        <w:t xml:space="preserve">La família compta amb els següents ingressos mensuals per al seu manteniment:</w:t>
      </w:r>
    </w:p>
    <w:p w:rsidR="00000000" w:rsidDel="00000000" w:rsidP="00000000" w:rsidRDefault="00000000" w:rsidRPr="00000000" w14:paraId="00000014">
      <w:pPr>
        <w:spacing w:after="120" w:before="240" w:line="276" w:lineRule="auto"/>
        <w:jc w:val="both"/>
        <w:rPr>
          <w:color w:val="00b050"/>
          <w:highlight w:val="white"/>
        </w:rPr>
      </w:pPr>
      <w:r w:rsidDel="00000000" w:rsidR="00000000" w:rsidRPr="00000000">
        <w:rPr>
          <w:color w:val="00b050"/>
          <w:highlight w:val="white"/>
          <w:rtl w:val="0"/>
        </w:rPr>
        <w:t xml:space="preserve">(explicar situació laboral i ingressos de la unitat familiar)</w:t>
      </w:r>
    </w:p>
    <w:p w:rsidR="00000000" w:rsidDel="00000000" w:rsidP="00000000" w:rsidRDefault="00000000" w:rsidRPr="00000000" w14:paraId="00000015">
      <w:pPr>
        <w:spacing w:after="200" w:before="240" w:line="276" w:lineRule="auto"/>
        <w:jc w:val="both"/>
        <w:rPr>
          <w:highlight w:val="white"/>
        </w:rPr>
      </w:pPr>
      <w:r w:rsidDel="00000000" w:rsidR="00000000" w:rsidRPr="00000000">
        <w:rPr>
          <w:highlight w:val="white"/>
          <w:rtl w:val="0"/>
        </w:rPr>
        <w:t xml:space="preserve">A causa de la situació de vulnerabilitat acudeixen a Serveis Socials, que han emès informe que acredita la situació de risc d'exclusió residencial d'acord amb l'article 10 de la Llei 24/2015 (document adjunt).</w:t>
      </w:r>
    </w:p>
    <w:p w:rsidR="00000000" w:rsidDel="00000000" w:rsidP="00000000" w:rsidRDefault="00000000" w:rsidRPr="00000000" w14:paraId="00000016">
      <w:pPr>
        <w:spacing w:after="200" w:before="240" w:line="276" w:lineRule="auto"/>
        <w:jc w:val="both"/>
        <w:rPr>
          <w:b w:val="1"/>
          <w:highlight w:val="white"/>
        </w:rPr>
      </w:pPr>
      <w:r w:rsidDel="00000000" w:rsidR="00000000" w:rsidRPr="00000000">
        <w:rPr>
          <w:b w:val="1"/>
          <w:highlight w:val="white"/>
          <w:rtl w:val="0"/>
        </w:rPr>
        <w:t xml:space="preserve">Tercer.- Dificultat d'accés a l'habitatge</w:t>
      </w:r>
    </w:p>
    <w:p w:rsidR="00000000" w:rsidDel="00000000" w:rsidP="00000000" w:rsidRDefault="00000000" w:rsidRPr="00000000" w14:paraId="00000017">
      <w:pPr>
        <w:spacing w:after="200" w:before="240" w:line="276" w:lineRule="auto"/>
        <w:jc w:val="both"/>
        <w:rPr>
          <w:highlight w:val="white"/>
        </w:rPr>
      </w:pPr>
      <w:r w:rsidDel="00000000" w:rsidR="00000000" w:rsidRPr="00000000">
        <w:rPr>
          <w:highlight w:val="white"/>
          <w:rtl w:val="0"/>
        </w:rPr>
        <w:t xml:space="preserve">Amb una tendència creixent dels preus dels immobles, les condicions del mercat immobiliari impedeixen accedir a l'habitatge de les persones en situació de vulnerabilitat. En aquest sentit, el preu del lloguer a Catalunya ha augmentat un 4,4% de mitjana el 2019, segons les dades de la Secretaria d'Habitatge de la Generalitat (a partir de les fiances de lloguer dipositades a l'INCASOL).</w:t>
      </w:r>
    </w:p>
    <w:p w:rsidR="00000000" w:rsidDel="00000000" w:rsidP="00000000" w:rsidRDefault="00000000" w:rsidRPr="00000000" w14:paraId="00000018">
      <w:pPr>
        <w:spacing w:after="200" w:before="240" w:line="276" w:lineRule="auto"/>
        <w:jc w:val="both"/>
        <w:rPr>
          <w:highlight w:val="white"/>
        </w:rPr>
      </w:pPr>
      <w:r w:rsidDel="00000000" w:rsidR="00000000" w:rsidRPr="00000000">
        <w:rPr>
          <w:highlight w:val="white"/>
          <w:rtl w:val="0"/>
        </w:rPr>
        <w:t xml:space="preserve">Tot i això, Catalunya arrossega una històrica falta de polítiques d'habitatge, cosa que es tradueix amb un escàs parc públic d'habitatge, que no arriba al 2% del parc d'acord amb el Pla Territorial Sectorial d'Habitatge de la Generalitat, molt lluny de la mitjana dels països de l'entorn europeu. Al mateix temps que es manifestament insuficient per fer front a l'emergència habitacional que viu Catalunya, el territori lidera una vegada més el rànquing de la vergonya dels desnonaments, representant el 23,3% del total estatal al segon semestre del 2019, d'acord a les dades del Consell General del Poder Judicial.</w:t>
      </w:r>
    </w:p>
    <w:p w:rsidR="00000000" w:rsidDel="00000000" w:rsidP="00000000" w:rsidRDefault="00000000" w:rsidRPr="00000000" w14:paraId="00000019">
      <w:pPr>
        <w:spacing w:after="200" w:before="240" w:line="276" w:lineRule="auto"/>
        <w:jc w:val="both"/>
        <w:rPr>
          <w:highlight w:val="white"/>
        </w:rPr>
      </w:pPr>
      <w:r w:rsidDel="00000000" w:rsidR="00000000" w:rsidRPr="00000000">
        <w:rPr>
          <w:highlight w:val="white"/>
          <w:rtl w:val="0"/>
        </w:rPr>
        <w:t xml:space="preserve">I com s'ha manifestat anteriorment, els ingressos familiars són insuficients per accedir a un habitatge en els termes actuals de mercat, per la qual cosa no disposa d'alternativa habitacional.</w:t>
      </w:r>
    </w:p>
    <w:p w:rsidR="00000000" w:rsidDel="00000000" w:rsidP="00000000" w:rsidRDefault="00000000" w:rsidRPr="00000000" w14:paraId="0000001A">
      <w:pPr>
        <w:spacing w:after="200" w:before="240" w:line="276" w:lineRule="auto"/>
        <w:jc w:val="center"/>
        <w:rPr>
          <w:b w:val="1"/>
          <w:highlight w:val="white"/>
        </w:rPr>
      </w:pPr>
      <w:r w:rsidDel="00000000" w:rsidR="00000000" w:rsidRPr="00000000">
        <w:rPr>
          <w:b w:val="1"/>
          <w:highlight w:val="white"/>
          <w:rtl w:val="0"/>
        </w:rPr>
        <w:t xml:space="preserve">FONAMENTS DE DRET</w:t>
      </w:r>
    </w:p>
    <w:p w:rsidR="00000000" w:rsidDel="00000000" w:rsidP="00000000" w:rsidRDefault="00000000" w:rsidRPr="00000000" w14:paraId="0000001B">
      <w:pPr>
        <w:spacing w:after="200" w:before="240" w:line="276" w:lineRule="auto"/>
        <w:jc w:val="both"/>
        <w:rPr>
          <w:highlight w:val="white"/>
        </w:rPr>
      </w:pPr>
      <w:r w:rsidDel="00000000" w:rsidR="00000000" w:rsidRPr="00000000">
        <w:rPr>
          <w:b w:val="1"/>
          <w:highlight w:val="white"/>
          <w:rtl w:val="0"/>
        </w:rPr>
        <w:t xml:space="preserve">Primer.- </w:t>
      </w:r>
      <w:r w:rsidDel="00000000" w:rsidR="00000000" w:rsidRPr="00000000">
        <w:rPr>
          <w:highlight w:val="white"/>
          <w:rtl w:val="0"/>
        </w:rPr>
        <w:t xml:space="preserve">La Llei 24/2015, de 29 de juliol, de mesures urgents per afrontar l'emergència en l'àmbit de l'habitatge i la pobresa energètica, fruit de la mobilització de la ciutadania, contempla entre d'altres mesures per evitar desnonaments i donar resposta a la situació greu i cronificada d'emergència social que viu Catalunya, especialment greu en l'àmbit de l'habitatge.</w:t>
      </w:r>
    </w:p>
    <w:p w:rsidR="00000000" w:rsidDel="00000000" w:rsidP="00000000" w:rsidRDefault="00000000" w:rsidRPr="00000000" w14:paraId="0000001C">
      <w:pPr>
        <w:spacing w:after="200" w:before="240" w:line="276" w:lineRule="auto"/>
        <w:jc w:val="both"/>
        <w:rPr>
          <w:highlight w:val="white"/>
        </w:rPr>
      </w:pPr>
      <w:r w:rsidDel="00000000" w:rsidR="00000000" w:rsidRPr="00000000">
        <w:rPr>
          <w:highlight w:val="white"/>
          <w:rtl w:val="0"/>
        </w:rPr>
        <w:t xml:space="preserve">Després del desistiment parcial del recurs d'inconstitucionalitat núm. 2501-2016, acordat al Consell de Ministres de data 2 de novembre de 2018 i la seva publicació al BOE, la citada llei és actualment vigent i d'aplicació obligada.</w:t>
      </w:r>
    </w:p>
    <w:p w:rsidR="00000000" w:rsidDel="00000000" w:rsidP="00000000" w:rsidRDefault="00000000" w:rsidRPr="00000000" w14:paraId="0000001D">
      <w:pPr>
        <w:spacing w:after="200" w:before="240" w:line="276" w:lineRule="auto"/>
        <w:jc w:val="both"/>
        <w:rPr>
          <w:highlight w:val="white"/>
        </w:rPr>
      </w:pPr>
      <w:r w:rsidDel="00000000" w:rsidR="00000000" w:rsidRPr="00000000">
        <w:rPr>
          <w:highlight w:val="white"/>
          <w:rtl w:val="0"/>
        </w:rPr>
        <w:t xml:space="preserve">Que, en data 23 de Febrer de 2022 , el Parlament de Catalunya va aprovar la Llei 1/2022, del 03 de Març de 2022 , d'Ampliació de les mesures urgents per afrontar l'emergència habitacional que modifica la Llei 24/2015, de 29 de juliol.</w:t>
      </w:r>
    </w:p>
    <w:p w:rsidR="00000000" w:rsidDel="00000000" w:rsidP="00000000" w:rsidRDefault="00000000" w:rsidRPr="00000000" w14:paraId="0000001E">
      <w:pPr>
        <w:spacing w:after="200" w:before="240" w:line="276" w:lineRule="auto"/>
        <w:jc w:val="both"/>
        <w:rPr>
          <w:highlight w:val="white"/>
        </w:rPr>
      </w:pPr>
      <w:r w:rsidDel="00000000" w:rsidR="00000000" w:rsidRPr="00000000">
        <w:rPr>
          <w:b w:val="1"/>
          <w:highlight w:val="white"/>
          <w:rtl w:val="0"/>
        </w:rPr>
        <w:t xml:space="preserve">Segon. </w:t>
      </w:r>
      <w:r w:rsidDel="00000000" w:rsidR="00000000" w:rsidRPr="00000000">
        <w:rPr>
          <w:highlight w:val="white"/>
          <w:rtl w:val="0"/>
        </w:rPr>
        <w:t xml:space="preserve">D'acord amb el que disposa l'article 5 de la llei de referència, el demandant en un procediment de desnonament per impagament de lloguer ha d'oferir un lloguer social als demandats abans d'interposar la demanda. Primera: que les persones o unitats familiars afectades pel procediment no tinguin alternativa d'habitatge propi i es trobin dins dels paràmetres de risc d'exclusió residencial, d'acord amb l'article 10 de la Llei 24/2015, circumstància que haurà de ser comprovada pel mateix demandant. Segona: que el demandant reuneixi la condició de gran forquilla d'habitatge (definida a l'article 5.9 de la Llei) o sigui una persona jurídica que hagi adquirit, després del 30 d'abril de 2008, habitatges provinents d'execucions hipotecàries o acords de compensació de deutes, dacions en pagament o compravendes que tinguin per causa la impossibilitat de tornar el préstec hipotecari, en els casos de dació en pagament.</w:t>
      </w:r>
    </w:p>
    <w:p w:rsidR="00000000" w:rsidDel="00000000" w:rsidP="00000000" w:rsidRDefault="00000000" w:rsidRPr="00000000" w14:paraId="0000001F">
      <w:pPr>
        <w:spacing w:after="200" w:before="240" w:line="276" w:lineRule="auto"/>
        <w:jc w:val="both"/>
        <w:rPr>
          <w:highlight w:val="white"/>
        </w:rPr>
      </w:pPr>
      <w:r w:rsidDel="00000000" w:rsidR="00000000" w:rsidRPr="00000000">
        <w:rPr>
          <w:b w:val="1"/>
          <w:highlight w:val="white"/>
          <w:rtl w:val="0"/>
        </w:rPr>
        <w:t xml:space="preserve">Tercer. </w:t>
      </w:r>
      <w:r w:rsidDel="00000000" w:rsidR="00000000" w:rsidRPr="00000000">
        <w:rPr>
          <w:highlight w:val="white"/>
          <w:rtl w:val="0"/>
        </w:rPr>
        <w:t xml:space="preserve">- Per acreditar que les persones o unitats familiars afectades es troben en situació d'exclusió residencial, la modificació introduïda per la Llei 1/20XX, del 03 de Març de 2022 , a l'article 14, estableix que serà suficient que els afectats presentin la documentació acreditativa de la identitat, els ingressos, la manca d'alternativa habitacional pròpia i la situació d'empadronament efectiu a l'habitatge.</w:t>
      </w:r>
    </w:p>
    <w:p w:rsidR="00000000" w:rsidDel="00000000" w:rsidP="00000000" w:rsidRDefault="00000000" w:rsidRPr="00000000" w14:paraId="00000020">
      <w:pPr>
        <w:spacing w:after="200" w:before="240" w:line="276" w:lineRule="auto"/>
        <w:jc w:val="both"/>
        <w:rPr>
          <w:highlight w:val="white"/>
        </w:rPr>
      </w:pPr>
      <w:r w:rsidDel="00000000" w:rsidR="00000000" w:rsidRPr="00000000">
        <w:rPr>
          <w:b w:val="1"/>
          <w:highlight w:val="white"/>
          <w:rtl w:val="0"/>
        </w:rPr>
        <w:t xml:space="preserve">Quart.- </w:t>
      </w:r>
      <w:r w:rsidDel="00000000" w:rsidR="00000000" w:rsidRPr="00000000">
        <w:rPr>
          <w:highlight w:val="white"/>
          <w:rtl w:val="0"/>
        </w:rPr>
        <w:t xml:space="preserve">La disposició adicional de la Llei 24/2015, de 29 de juliol, estableix, alhora, que els procediments iniciats en què no s'hagi acreditat la formulació de l'oferta de lloguer social, s'hauran de suspendre perquè la oferta es pugui formular i acreditar.</w:t>
      </w:r>
    </w:p>
    <w:p w:rsidR="00000000" w:rsidDel="00000000" w:rsidP="00000000" w:rsidRDefault="00000000" w:rsidRPr="00000000" w14:paraId="00000021">
      <w:pPr>
        <w:spacing w:after="200" w:before="240" w:line="276" w:lineRule="auto"/>
        <w:jc w:val="both"/>
        <w:rPr>
          <w:highlight w:val="white"/>
        </w:rPr>
      </w:pPr>
      <w:r w:rsidDel="00000000" w:rsidR="00000000" w:rsidRPr="00000000">
        <w:rPr>
          <w:b w:val="1"/>
          <w:highlight w:val="white"/>
          <w:rtl w:val="0"/>
        </w:rPr>
        <w:t xml:space="preserve">Cinquè.- </w:t>
      </w:r>
      <w:r w:rsidDel="00000000" w:rsidR="00000000" w:rsidRPr="00000000">
        <w:rPr>
          <w:highlight w:val="white"/>
          <w:rtl w:val="0"/>
        </w:rPr>
        <w:t xml:space="preserve">La part actora en el procediment esmentat té la condició de gran tenidor d'habitatge. L'article 5.9 de la Llei 24/2015 defineix com a grans tenidor les entitats financeres, les filials immobiliàries, els fons d'inversió i les entitats de gestió d'actius, inclosos els procedents de reestructuració bancària, d'acord amb la legislació mercantil vigent; les persones jurídiques que, per si soles o a través d'un grup d'empreses, siguin titulars de més de 10 vivendes; els fons de capital risc i de titulització d'actius i les persones físiques que siguin titulars de més de 15 habitatges.</w:t>
      </w:r>
    </w:p>
    <w:p w:rsidR="00000000" w:rsidDel="00000000" w:rsidP="00000000" w:rsidRDefault="00000000" w:rsidRPr="00000000" w14:paraId="00000022">
      <w:pPr>
        <w:spacing w:after="200" w:before="240" w:line="276" w:lineRule="auto"/>
        <w:jc w:val="both"/>
        <w:rPr>
          <w:highlight w:val="white"/>
        </w:rPr>
      </w:pPr>
      <w:r w:rsidDel="00000000" w:rsidR="00000000" w:rsidRPr="00000000">
        <w:rPr>
          <w:highlight w:val="white"/>
          <w:rtl w:val="0"/>
        </w:rPr>
        <w:t xml:space="preserve">Essent la demandant considerada com a gran tenidor d'habitatge, es presumeix que no concorren raons d'urgència i necessitat per prendre possessió de l'immoble, i per contra, sí que s'acrediten motius d'urgència social a la part demandada que aconsellen la suspensió del llançament fins que obtingui una alternativa habitacional adequada a les circumstàncies de la unitat familiar, ponderant els drets en judici per no causar males majors i irreparables.</w:t>
      </w:r>
    </w:p>
    <w:p w:rsidR="00000000" w:rsidDel="00000000" w:rsidP="00000000" w:rsidRDefault="00000000" w:rsidRPr="00000000" w14:paraId="00000023">
      <w:pPr>
        <w:spacing w:after="200" w:before="240" w:line="276" w:lineRule="auto"/>
        <w:jc w:val="both"/>
        <w:rPr>
          <w:highlight w:val="white"/>
        </w:rPr>
      </w:pPr>
      <w:r w:rsidDel="00000000" w:rsidR="00000000" w:rsidRPr="00000000">
        <w:rPr>
          <w:b w:val="1"/>
          <w:highlight w:val="white"/>
          <w:rtl w:val="0"/>
        </w:rPr>
        <w:t xml:space="preserve">Setè.- </w:t>
      </w:r>
      <w:r w:rsidDel="00000000" w:rsidR="00000000" w:rsidRPr="00000000">
        <w:rPr>
          <w:highlight w:val="white"/>
          <w:rtl w:val="0"/>
        </w:rPr>
        <w:t xml:space="preserve">La part demandant ha incomplert l'imperatiu legal de comprovar prèviament si els afectats es troben en situació de risc d'exclusió residencial, així com a fer oferta de lloguer social en els termes que estableix el precepte 5 de la Llei 24/2015.</w:t>
      </w:r>
    </w:p>
    <w:p w:rsidR="00000000" w:rsidDel="00000000" w:rsidP="00000000" w:rsidRDefault="00000000" w:rsidRPr="00000000" w14:paraId="00000024">
      <w:pPr>
        <w:spacing w:after="200" w:before="240" w:line="276" w:lineRule="auto"/>
        <w:jc w:val="both"/>
        <w:rPr>
          <w:highlight w:val="white"/>
        </w:rPr>
      </w:pPr>
      <w:r w:rsidDel="00000000" w:rsidR="00000000" w:rsidRPr="00000000">
        <w:rPr>
          <w:b w:val="1"/>
          <w:highlight w:val="white"/>
          <w:rtl w:val="0"/>
        </w:rPr>
        <w:t xml:space="preserve">Vuitè.- </w:t>
      </w:r>
      <w:r w:rsidDel="00000000" w:rsidR="00000000" w:rsidRPr="00000000">
        <w:rPr>
          <w:highlight w:val="white"/>
          <w:rtl w:val="0"/>
        </w:rPr>
        <w:t xml:space="preserve">L'article 47 de la Constitució (CE) reconeix expressament el dret a l'habitatge digne i adequat i el vincula a l'obligació dels poders públics d'impedir l’especulació. Alhora, imposa el deure de garantir que el dret de propietat no s'exerceixi de forma antisocial a l'article 33, subordinant la riquesa a l'interès general a l'article 128.</w:t>
      </w:r>
    </w:p>
    <w:p w:rsidR="00000000" w:rsidDel="00000000" w:rsidP="00000000" w:rsidRDefault="00000000" w:rsidRPr="00000000" w14:paraId="00000025">
      <w:pPr>
        <w:spacing w:after="200" w:before="240" w:line="276" w:lineRule="auto"/>
        <w:jc w:val="both"/>
        <w:rPr>
          <w:highlight w:val="white"/>
        </w:rPr>
      </w:pPr>
      <w:r w:rsidDel="00000000" w:rsidR="00000000" w:rsidRPr="00000000">
        <w:rPr>
          <w:highlight w:val="white"/>
          <w:rtl w:val="0"/>
        </w:rPr>
        <w:t xml:space="preserve">Si bé l'article 47 CE s'ubica al Capítol III del Títol I, "Dels principis Rectors de la Política Social Econòmica", en la línia de la recent jurisprudència res no impedeix reconèixer elements de fonamentalitat, ja que el dret a habitatge digne i adequada està a la norma de major rang en el nostre ordenament jurídic i definit al Títol I: "De Drets i deures fonamentals".</w:t>
      </w:r>
    </w:p>
    <w:p w:rsidR="00000000" w:rsidDel="00000000" w:rsidP="00000000" w:rsidRDefault="00000000" w:rsidRPr="00000000" w14:paraId="00000026">
      <w:pPr>
        <w:spacing w:after="200" w:before="240" w:line="276" w:lineRule="auto"/>
        <w:jc w:val="both"/>
        <w:rPr>
          <w:highlight w:val="white"/>
        </w:rPr>
      </w:pPr>
      <w:r w:rsidDel="00000000" w:rsidR="00000000" w:rsidRPr="00000000">
        <w:rPr>
          <w:highlight w:val="white"/>
          <w:rtl w:val="0"/>
        </w:rPr>
        <w:t xml:space="preserve">L'article 148.1.3 de la Constitució otorga a les comunitats autònomes la potestat d'assumir competències en matèria d'habitatge, que en el cas de Catalunya ha estat assumida la competència a l'article 137 de l'Estatut d'autonomia.</w:t>
      </w:r>
    </w:p>
    <w:p w:rsidR="00000000" w:rsidDel="00000000" w:rsidP="00000000" w:rsidRDefault="00000000" w:rsidRPr="00000000" w14:paraId="00000027">
      <w:pPr>
        <w:spacing w:after="200" w:before="240" w:line="276" w:lineRule="auto"/>
        <w:jc w:val="both"/>
        <w:rPr>
          <w:highlight w:val="white"/>
        </w:rPr>
      </w:pPr>
      <w:r w:rsidDel="00000000" w:rsidR="00000000" w:rsidRPr="00000000">
        <w:rPr>
          <w:highlight w:val="white"/>
          <w:rtl w:val="0"/>
        </w:rPr>
        <w:t xml:space="preserve">I d'acord amb l'article 5 de l'Estatut d'Autonomia, totes les persones tenen dret a viure lliures de situacions d'explotació i de maltractament, com de facto comporta la manca d'habitatge digne.</w:t>
      </w:r>
    </w:p>
    <w:p w:rsidR="00000000" w:rsidDel="00000000" w:rsidP="00000000" w:rsidRDefault="00000000" w:rsidRPr="00000000" w14:paraId="00000028">
      <w:pPr>
        <w:spacing w:after="200" w:before="240" w:line="276" w:lineRule="auto"/>
        <w:jc w:val="both"/>
        <w:rPr>
          <w:highlight w:val="white"/>
        </w:rPr>
      </w:pPr>
      <w:r w:rsidDel="00000000" w:rsidR="00000000" w:rsidRPr="00000000">
        <w:rPr>
          <w:b w:val="1"/>
          <w:highlight w:val="white"/>
          <w:rtl w:val="0"/>
        </w:rPr>
        <w:t xml:space="preserve">Novè.- </w:t>
      </w:r>
      <w:r w:rsidDel="00000000" w:rsidR="00000000" w:rsidRPr="00000000">
        <w:rPr>
          <w:highlight w:val="white"/>
          <w:rtl w:val="0"/>
        </w:rPr>
        <w:t xml:space="preserve">Els tractats internacionals en matèria de drets humans ratificats per Espanya formen part de l'ordenament intern, tal com estableix l'article 96.1 CE, i són, juntament amb la Declaració Universal de Drets Humans, un criteri decisiu per a la interpretació dels drets fonamentals i garanties reconegudes a la Constitució (article 10.2 CE). Segons estableix l'article 31 de la Llei 25/2014, de 27 de novembre, de Tractats i altres acords Internacionals, en cas de conflicte o dubte interpretatiu amb una norma de dret intern, preval el Tractat internacional.</w:t>
      </w:r>
    </w:p>
    <w:p w:rsidR="00000000" w:rsidDel="00000000" w:rsidP="00000000" w:rsidRDefault="00000000" w:rsidRPr="00000000" w14:paraId="00000029">
      <w:pPr>
        <w:spacing w:after="200" w:before="240" w:line="276" w:lineRule="auto"/>
        <w:jc w:val="both"/>
        <w:rPr>
          <w:highlight w:val="white"/>
        </w:rPr>
      </w:pPr>
      <w:r w:rsidDel="00000000" w:rsidR="00000000" w:rsidRPr="00000000">
        <w:rPr>
          <w:highlight w:val="white"/>
          <w:rtl w:val="0"/>
        </w:rPr>
        <w:t xml:space="preserve">El Pacte Internacional de Drets Econòmics, Socials i Culturals (PIDESC), signat per Espanya el 2008 i en vigor des de l'any 2013, reconeix el dret a l'habitatge digne a l'article 11; i en virtut del Protocol Facultatiu, els països adherits se sotmeten a la decisió que adopti el Comitè DESC en supòsits de violacions dels drets reconeguts al PIDESC.</w:t>
      </w:r>
    </w:p>
    <w:p w:rsidR="00000000" w:rsidDel="00000000" w:rsidP="00000000" w:rsidRDefault="00000000" w:rsidRPr="00000000" w14:paraId="0000002A">
      <w:pPr>
        <w:spacing w:after="200" w:before="240" w:line="276" w:lineRule="auto"/>
        <w:jc w:val="both"/>
        <w:rPr>
          <w:highlight w:val="white"/>
        </w:rPr>
      </w:pPr>
      <w:r w:rsidDel="00000000" w:rsidR="00000000" w:rsidRPr="00000000">
        <w:rPr>
          <w:highlight w:val="white"/>
          <w:rtl w:val="0"/>
        </w:rPr>
        <w:t xml:space="preserve">Per part seva, l'Observació General núm. 7 del Comitè de Drets Econòmics, Socials i Culturals incorpora com a contingut del dret a l'habitatge la protecció contra els desnonaments forçosos, introduint condicionants i límits; i l'obligació dels poders públics de garantir un reallotjament adequat de les persones en situació de vulnerabilitat.</w:t>
      </w:r>
    </w:p>
    <w:p w:rsidR="00000000" w:rsidDel="00000000" w:rsidP="00000000" w:rsidRDefault="00000000" w:rsidRPr="00000000" w14:paraId="0000002B">
      <w:pPr>
        <w:spacing w:after="200" w:before="240" w:line="276" w:lineRule="auto"/>
        <w:jc w:val="both"/>
        <w:rPr>
          <w:highlight w:val="white"/>
        </w:rPr>
      </w:pPr>
      <w:r w:rsidDel="00000000" w:rsidR="00000000" w:rsidRPr="00000000">
        <w:rPr>
          <w:b w:val="1"/>
          <w:highlight w:val="white"/>
          <w:rtl w:val="0"/>
        </w:rPr>
        <w:t xml:space="preserve">Desè.- </w:t>
      </w:r>
      <w:r w:rsidDel="00000000" w:rsidR="00000000" w:rsidRPr="00000000">
        <w:rPr>
          <w:highlight w:val="white"/>
          <w:rtl w:val="0"/>
        </w:rPr>
        <w:t xml:space="preserve">El Dictamen del Comitè DESC de les Nacions Unides, de data 20 de juny de 2017, Comunicació 5/2015, declara la vulneració del dret a l'habitatge, i condemna a Espanya, per no impedir un desnonament sense alternativa habitacional, dictamen vinculant que obliga a la suspensió del llançament.</w:t>
      </w:r>
    </w:p>
    <w:p w:rsidR="00000000" w:rsidDel="00000000" w:rsidP="00000000" w:rsidRDefault="00000000" w:rsidRPr="00000000" w14:paraId="0000002C">
      <w:pPr>
        <w:spacing w:after="200" w:before="240" w:line="276" w:lineRule="auto"/>
        <w:jc w:val="both"/>
        <w:rPr>
          <w:highlight w:val="white"/>
        </w:rPr>
      </w:pPr>
      <w:r w:rsidDel="00000000" w:rsidR="00000000" w:rsidRPr="00000000">
        <w:rPr>
          <w:highlight w:val="white"/>
          <w:rtl w:val="0"/>
        </w:rPr>
        <w:t xml:space="preserve">La qüestió essencial que planteja la comunicació és si el desallotjament sense alternativa habitacional suposa una violació del dret a un habitatge adequat.</w:t>
      </w:r>
    </w:p>
    <w:p w:rsidR="00000000" w:rsidDel="00000000" w:rsidP="00000000" w:rsidRDefault="00000000" w:rsidRPr="00000000" w14:paraId="0000002D">
      <w:pPr>
        <w:spacing w:after="240" w:before="240" w:line="276" w:lineRule="auto"/>
        <w:jc w:val="both"/>
        <w:rPr>
          <w:i w:val="1"/>
          <w:highlight w:val="white"/>
        </w:rPr>
      </w:pPr>
      <w:r w:rsidDel="00000000" w:rsidR="00000000" w:rsidRPr="00000000">
        <w:rPr>
          <w:highlight w:val="white"/>
          <w:rtl w:val="0"/>
        </w:rPr>
        <w:t xml:space="preserve">El Dictamen del Comitè DESC resol aquest assumpte en el sentit següent: </w:t>
      </w:r>
      <w:r w:rsidDel="00000000" w:rsidR="00000000" w:rsidRPr="00000000">
        <w:rPr>
          <w:i w:val="1"/>
          <w:highlight w:val="white"/>
          <w:rtl w:val="0"/>
        </w:rPr>
        <w:t xml:space="preserve">“El dret humà a un habitatge adequat és un dret fonamental que constitueix la base per al gaudi de tots els drets econòmics, socials i culturals (Observació núm. 4) i està vinculat en la seva integritat a altres drets humans, incloent-hi els del Pacte Internacional de Drets Civils i Polítics. El dret a l'habitatge s'ha de garantir a tots, siguin quins siguin els seus ingressos o l'accés a recursos econòmics, i els estats part han de prendre totes les mesures que siguin necessàries per aconseguir la realització plena d'aquest dret, fins al màxim dels seus recursos disponibles.</w:t>
      </w:r>
    </w:p>
    <w:p w:rsidR="00000000" w:rsidDel="00000000" w:rsidP="00000000" w:rsidRDefault="00000000" w:rsidRPr="00000000" w14:paraId="0000002E">
      <w:pPr>
        <w:spacing w:after="240" w:before="240" w:line="276" w:lineRule="auto"/>
        <w:jc w:val="both"/>
        <w:rPr>
          <w:i w:val="1"/>
          <w:highlight w:val="white"/>
        </w:rPr>
      </w:pPr>
      <w:r w:rsidDel="00000000" w:rsidR="00000000" w:rsidRPr="00000000">
        <w:rPr>
          <w:i w:val="1"/>
          <w:highlight w:val="white"/>
          <w:rtl w:val="0"/>
        </w:rPr>
        <w:t xml:space="preserve">Totes les persones han de gaudir de cert grau de seguretat de tinença que els garanteixi una protecció legal contra el desnonament, la fustigació o altres amenaces. Aquesta garantia també s'aplica a les persones que viuen en habitatges llogats, ja siguin públics o privats.</w:t>
      </w:r>
    </w:p>
    <w:p w:rsidR="00000000" w:rsidDel="00000000" w:rsidP="00000000" w:rsidRDefault="00000000" w:rsidRPr="00000000" w14:paraId="0000002F">
      <w:pPr>
        <w:spacing w:after="240" w:before="240" w:line="276" w:lineRule="auto"/>
        <w:jc w:val="both"/>
        <w:rPr>
          <w:i w:val="1"/>
          <w:highlight w:val="white"/>
        </w:rPr>
      </w:pPr>
      <w:r w:rsidDel="00000000" w:rsidR="00000000" w:rsidRPr="00000000">
        <w:rPr>
          <w:i w:val="1"/>
          <w:highlight w:val="white"/>
          <w:rtl w:val="0"/>
        </w:rPr>
        <w:t xml:space="preserve">Els desallotjaments forçats són “prima facie” incompatibles amb els requisits del Pacte, i només es podran justificar en les circumstàncies més excepcionals i de conformitat amb els principis pertinents al dret internacional (…)</w:t>
      </w:r>
    </w:p>
    <w:p w:rsidR="00000000" w:rsidDel="00000000" w:rsidP="00000000" w:rsidRDefault="00000000" w:rsidRPr="00000000" w14:paraId="00000030">
      <w:pPr>
        <w:spacing w:after="240" w:before="240" w:line="276" w:lineRule="auto"/>
        <w:jc w:val="both"/>
        <w:rPr>
          <w:i w:val="1"/>
          <w:highlight w:val="white"/>
        </w:rPr>
      </w:pPr>
      <w:r w:rsidDel="00000000" w:rsidR="00000000" w:rsidRPr="00000000">
        <w:rPr>
          <w:i w:val="1"/>
          <w:highlight w:val="white"/>
          <w:rtl w:val="0"/>
        </w:rPr>
        <w:t xml:space="preserve">No hi pot haver un dret sense un recurs efectiu i, per tant, els Estats part han de garantir que les persones el dret de les quals a l'habitatge adequat pogués ser afectat disposin d'un recurs judicial efectiu i apropiat (...)</w:t>
      </w:r>
    </w:p>
    <w:p w:rsidR="00000000" w:rsidDel="00000000" w:rsidP="00000000" w:rsidRDefault="00000000" w:rsidRPr="00000000" w14:paraId="00000031">
      <w:pPr>
        <w:spacing w:after="120" w:before="240" w:line="276" w:lineRule="auto"/>
        <w:jc w:val="both"/>
        <w:rPr>
          <w:highlight w:val="white"/>
        </w:rPr>
      </w:pPr>
      <w:r w:rsidDel="00000000" w:rsidR="00000000" w:rsidRPr="00000000">
        <w:rPr>
          <w:i w:val="1"/>
          <w:highlight w:val="white"/>
          <w:rtl w:val="0"/>
        </w:rPr>
        <w:t xml:space="preserve">Els Estats part no només tenen l'obligació de respectar els drets del Pacte, per la qual cosa s'han d'abstenir d'infringir-los, sinó que també tenen l'obligació de protegir-los. Si un Estat part no pren les mesures adequades de protecció d'un dret del Pacte, en compromet la responsabilitat, fins i tot si l'acció que va donar origen a l'afectació del dret va ser impulsada per un individu o una entitat privada (…). </w:t>
      </w:r>
      <w:r w:rsidDel="00000000" w:rsidR="00000000" w:rsidRPr="00000000">
        <w:rPr>
          <w:highlight w:val="white"/>
          <w:rtl w:val="0"/>
        </w:rPr>
        <w:t xml:space="preserve">”</w:t>
      </w:r>
    </w:p>
    <w:p w:rsidR="00000000" w:rsidDel="00000000" w:rsidP="00000000" w:rsidRDefault="00000000" w:rsidRPr="00000000" w14:paraId="00000032">
      <w:pPr>
        <w:spacing w:after="120" w:before="240" w:line="276" w:lineRule="auto"/>
        <w:jc w:val="both"/>
        <w:rPr>
          <w:highlight w:val="white"/>
        </w:rPr>
      </w:pPr>
      <w:r w:rsidDel="00000000" w:rsidR="00000000" w:rsidRPr="00000000">
        <w:rPr>
          <w:highlight w:val="white"/>
          <w:rtl w:val="0"/>
        </w:rPr>
        <w:t xml:space="preserve">En definitiva, d'acord amb el recent Dictamen no s'hauria d'executar un desnonament si els afectats es queden sense sostre, i encara menys quan la Llei 24/2015, de 29 de juliol, imposa l'obligació a les persones jurídiques de l'article 5, com és el present cas, de fer oferta de lloguer social al demandat com a mesura per garantir el dret a l'habitatge de persones en situació de vulnerabilitat, en congruència amb la normativa internacional i la carta magna.</w:t>
      </w:r>
    </w:p>
    <w:p w:rsidR="00000000" w:rsidDel="00000000" w:rsidP="00000000" w:rsidRDefault="00000000" w:rsidRPr="00000000" w14:paraId="00000033">
      <w:pPr>
        <w:spacing w:after="200" w:before="240" w:line="276" w:lineRule="auto"/>
        <w:jc w:val="both"/>
        <w:rPr>
          <w:highlight w:val="white"/>
        </w:rPr>
      </w:pPr>
      <w:r w:rsidDel="00000000" w:rsidR="00000000" w:rsidRPr="00000000">
        <w:rPr>
          <w:b w:val="1"/>
          <w:highlight w:val="white"/>
          <w:rtl w:val="0"/>
        </w:rPr>
        <w:t xml:space="preserve">Onzè.- </w:t>
      </w:r>
      <w:r w:rsidDel="00000000" w:rsidR="00000000" w:rsidRPr="00000000">
        <w:rPr>
          <w:highlight w:val="white"/>
          <w:rtl w:val="0"/>
        </w:rPr>
        <w:t xml:space="preserve">En el mateix sentit, s'ha pronunciat el Tribunal Suprem en sentència de data 23 de novembre  de 2017 sobre entrada a domicili i el "judici de proporcionalitat", recollint la doctrina constitucional i del Tribunal Europeu de Drets Humans, en congruència amb els Tractats internacionals en matèria de Drets Humans:</w:t>
      </w:r>
    </w:p>
    <w:p w:rsidR="00000000" w:rsidDel="00000000" w:rsidP="00000000" w:rsidRDefault="00000000" w:rsidRPr="00000000" w14:paraId="00000034">
      <w:pPr>
        <w:spacing w:after="200" w:before="240" w:line="276" w:lineRule="auto"/>
        <w:jc w:val="both"/>
        <w:rPr>
          <w:i w:val="1"/>
          <w:highlight w:val="white"/>
        </w:rPr>
      </w:pPr>
      <w:r w:rsidDel="00000000" w:rsidR="00000000" w:rsidRPr="00000000">
        <w:rPr>
          <w:i w:val="1"/>
          <w:highlight w:val="white"/>
          <w:rtl w:val="0"/>
        </w:rPr>
        <w:t xml:space="preserve">"Procedeix, així mateix, posar en relleu que, conforme a la consolidada doctrina del Tribunal Constitucional, exposada a les sentències 50/1995, de 23 de febrer, 69/1999, de 26 d'abril i 188/2013, de 4 de novembre, la resolució judicial per la qual s'autoritza l'entrada en un domicili ha d'estar degudament motivada i, conseqüentment, ha de complir la funció de garantia de la inviolabilitat del domicili que li correspon, de manera que es pugui comprovar que s'ha autoritzat l'entrada després d'efectuar-ne una ponderació dels diferents drets i interessos que es poden veure afectats i adoptant les cauteles precises perquè la limitació del dret fonamental que aquesta implica s'efectuï de la manera menys restrictiva possible.</w:t>
      </w:r>
    </w:p>
    <w:p w:rsidR="00000000" w:rsidDel="00000000" w:rsidP="00000000" w:rsidRDefault="00000000" w:rsidRPr="00000000" w14:paraId="00000035">
      <w:pPr>
        <w:spacing w:after="240" w:before="240" w:line="276" w:lineRule="auto"/>
        <w:jc w:val="both"/>
        <w:rPr>
          <w:highlight w:val="white"/>
        </w:rPr>
      </w:pPr>
      <w:r w:rsidDel="00000000" w:rsidR="00000000" w:rsidRPr="00000000">
        <w:rPr>
          <w:i w:val="1"/>
          <w:highlight w:val="white"/>
          <w:rtl w:val="0"/>
        </w:rPr>
        <w:t xml:space="preserve">Així mateix, el Tribunal Constitucional refereix a les citades sentències, que "l'òrgan jurisdiccional ha de vetllar per la proporcionalitat de la mesura interessada, de manera que l'entrada al domicili sigui absolutament indispensable per a l'execució de l'acte administratiu. Doncs serà en aquest judici de proporcionalitat -al que expressament remeten les nostres sentències 50/1995 i 69/1999, com a cànon d'enjudiciament de la licitud de l'autorització judicial d'entrada al domicili- en el fet d'haver-se respectat, no es produirà la vulneració del dret fonamental."</w:t>
      </w:r>
      <w:r w:rsidDel="00000000" w:rsidR="00000000" w:rsidRPr="00000000">
        <w:rPr>
          <w:rtl w:val="0"/>
        </w:rPr>
      </w:r>
    </w:p>
    <w:p w:rsidR="00000000" w:rsidDel="00000000" w:rsidP="00000000" w:rsidRDefault="00000000" w:rsidRPr="00000000" w14:paraId="00000036">
      <w:pPr>
        <w:spacing w:after="240" w:before="240" w:line="276"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37">
      <w:pPr>
        <w:spacing w:after="240" w:before="240" w:line="276" w:lineRule="auto"/>
        <w:jc w:val="both"/>
        <w:rPr>
          <w:highlight w:val="white"/>
        </w:rPr>
      </w:pPr>
      <w:r w:rsidDel="00000000" w:rsidR="00000000" w:rsidRPr="00000000">
        <w:rPr>
          <w:highlight w:val="white"/>
          <w:rtl w:val="0"/>
        </w:rPr>
        <w:t xml:space="preserve">Per això s'acaba d'exposar,</w:t>
      </w:r>
    </w:p>
    <w:p w:rsidR="00000000" w:rsidDel="00000000" w:rsidP="00000000" w:rsidRDefault="00000000" w:rsidRPr="00000000" w14:paraId="00000038">
      <w:pPr>
        <w:spacing w:after="240" w:before="240" w:line="276"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39">
      <w:pPr>
        <w:spacing w:after="200" w:before="240" w:line="276" w:lineRule="auto"/>
        <w:jc w:val="both"/>
        <w:rPr>
          <w:highlight w:val="white"/>
        </w:rPr>
      </w:pPr>
      <w:r w:rsidDel="00000000" w:rsidR="00000000" w:rsidRPr="00000000">
        <w:rPr>
          <w:b w:val="1"/>
          <w:highlight w:val="white"/>
          <w:rtl w:val="0"/>
        </w:rPr>
        <w:t xml:space="preserve">Al JUTJAT SOL·LICITO </w:t>
      </w:r>
      <w:r w:rsidDel="00000000" w:rsidR="00000000" w:rsidRPr="00000000">
        <w:rPr>
          <w:highlight w:val="white"/>
          <w:rtl w:val="0"/>
        </w:rPr>
        <w:t xml:space="preserve">tingui por presentat aquest escrit i per fetes les manifestacions contingudes, ho admeti i:</w:t>
      </w:r>
    </w:p>
    <w:p w:rsidR="00000000" w:rsidDel="00000000" w:rsidP="00000000" w:rsidRDefault="00000000" w:rsidRPr="00000000" w14:paraId="0000003A">
      <w:pPr>
        <w:spacing w:after="200" w:before="240" w:line="276" w:lineRule="auto"/>
        <w:jc w:val="both"/>
        <w:rPr>
          <w:highlight w:val="white"/>
        </w:rPr>
      </w:pPr>
      <w:r w:rsidDel="00000000" w:rsidR="00000000" w:rsidRPr="00000000">
        <w:rPr>
          <w:highlight w:val="white"/>
          <w:rtl w:val="0"/>
        </w:rPr>
        <w:t xml:space="preserve">1.- Procedeixi al preceptiu judici de proporcionalitat sobre les circumstàncies que concorren en aquest cas.</w:t>
      </w:r>
    </w:p>
    <w:p w:rsidR="00000000" w:rsidDel="00000000" w:rsidP="00000000" w:rsidRDefault="00000000" w:rsidRPr="00000000" w14:paraId="0000003B">
      <w:pPr>
        <w:spacing w:after="200" w:before="240" w:line="276" w:lineRule="auto"/>
        <w:jc w:val="both"/>
        <w:rPr>
          <w:highlight w:val="white"/>
        </w:rPr>
      </w:pPr>
      <w:r w:rsidDel="00000000" w:rsidR="00000000" w:rsidRPr="00000000">
        <w:rPr>
          <w:highlight w:val="white"/>
          <w:rtl w:val="0"/>
        </w:rPr>
        <w:t xml:space="preserve">2.- </w:t>
      </w:r>
      <w:r w:rsidDel="00000000" w:rsidR="00000000" w:rsidRPr="00000000">
        <w:rPr>
          <w:highlight w:val="white"/>
          <w:u w:val="single"/>
          <w:rtl w:val="0"/>
        </w:rPr>
        <w:t xml:space="preserve">Acordeu la suspensió immediata del procediment </w:t>
      </w:r>
      <w:r w:rsidDel="00000000" w:rsidR="00000000" w:rsidRPr="00000000">
        <w:rPr>
          <w:highlight w:val="white"/>
          <w:rtl w:val="0"/>
        </w:rPr>
        <w:t xml:space="preserve">en curs fins que l'actora hi hagi la imperativa oferta de lloguer social en els termes que estableix la Llei 24/2015, de 29 de juliol, i les persones que habiten l'immoble tinguin garantida alternativa habitacional.</w:t>
      </w:r>
    </w:p>
    <w:p w:rsidR="00000000" w:rsidDel="00000000" w:rsidP="00000000" w:rsidRDefault="00000000" w:rsidRPr="00000000" w14:paraId="0000003C">
      <w:pPr>
        <w:spacing w:after="200" w:before="240" w:line="276" w:lineRule="auto"/>
        <w:jc w:val="both"/>
        <w:rPr>
          <w:highlight w:val="white"/>
        </w:rPr>
      </w:pPr>
      <w:r w:rsidDel="00000000" w:rsidR="00000000" w:rsidRPr="00000000">
        <w:rPr>
          <w:b w:val="1"/>
          <w:highlight w:val="white"/>
          <w:rtl w:val="0"/>
        </w:rPr>
        <w:t xml:space="preserve">ALTRESSÍ DIGO: </w:t>
      </w:r>
      <w:r w:rsidDel="00000000" w:rsidR="00000000" w:rsidRPr="00000000">
        <w:rPr>
          <w:highlight w:val="white"/>
          <w:rtl w:val="0"/>
        </w:rPr>
        <w:t xml:space="preserve">Que en cas que es consideri que aquest escrit s'ha de presentar mitjançant advocat i procurador, em sigui notificada resolució, i se suspengui el procediment a efectes de sol·licitud de Justícia Gratuïta o presentació per lletrat d'ofici que em representi.</w:t>
      </w:r>
    </w:p>
    <w:p w:rsidR="00000000" w:rsidDel="00000000" w:rsidP="00000000" w:rsidRDefault="00000000" w:rsidRPr="00000000" w14:paraId="0000003D">
      <w:pPr>
        <w:spacing w:after="240" w:before="240" w:line="276" w:lineRule="auto"/>
        <w:rPr>
          <w:highlight w:val="white"/>
        </w:rPr>
      </w:pPr>
      <w:r w:rsidDel="00000000" w:rsidR="00000000" w:rsidRPr="00000000">
        <w:rPr>
          <w:highlight w:val="white"/>
          <w:rtl w:val="0"/>
        </w:rPr>
        <w:t xml:space="preserve"> </w:t>
      </w:r>
    </w:p>
    <w:p w:rsidR="00000000" w:rsidDel="00000000" w:rsidP="00000000" w:rsidRDefault="00000000" w:rsidRPr="00000000" w14:paraId="0000003E">
      <w:pPr>
        <w:spacing w:after="200" w:before="240" w:line="276" w:lineRule="auto"/>
        <w:jc w:val="both"/>
        <w:rPr>
          <w:highlight w:val="white"/>
        </w:rPr>
      </w:pPr>
      <w:r w:rsidDel="00000000" w:rsidR="00000000" w:rsidRPr="00000000">
        <w:rPr>
          <w:color w:val="00b050"/>
          <w:highlight w:val="white"/>
          <w:rtl w:val="0"/>
        </w:rPr>
        <w:t xml:space="preserve">Localitat i data</w:t>
      </w:r>
      <w:r w:rsidDel="00000000" w:rsidR="00000000" w:rsidRPr="00000000">
        <w:rPr>
          <w:rtl w:val="0"/>
        </w:rPr>
      </w:r>
    </w:p>
    <w:p w:rsidR="00000000" w:rsidDel="00000000" w:rsidP="00000000" w:rsidRDefault="00000000" w:rsidRPr="00000000" w14:paraId="0000003F">
      <w:pPr>
        <w:pageBreakBefore w:val="0"/>
        <w:spacing w:after="200" w:before="240" w:lineRule="auto"/>
        <w:jc w:val="both"/>
        <w:rPr>
          <w:highlight w:val="white"/>
          <w:u w:val="single"/>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