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7"/>
        </w:tabs>
        <w:spacing w:after="0" w:line="240" w:lineRule="auto"/>
        <w:jc w:val="center"/>
        <w:rPr>
          <w:rFonts w:ascii="Garamond" w:cs="Garamond" w:eastAsia="Garamond" w:hAnsi="Garamond"/>
          <w:b w:val="1"/>
          <w:color w:val="000000"/>
          <w:sz w:val="40"/>
          <w:szCs w:val="40"/>
        </w:rPr>
      </w:pPr>
      <w:r w:rsidDel="00000000" w:rsidR="00000000" w:rsidRPr="00000000">
        <w:rPr>
          <w:rFonts w:ascii="Garamond" w:cs="Garamond" w:eastAsia="Garamond" w:hAnsi="Garamond"/>
          <w:b w:val="1"/>
          <w:color w:val="ff0000"/>
          <w:sz w:val="40"/>
          <w:szCs w:val="40"/>
          <w:rtl w:val="0"/>
        </w:rPr>
        <w:t xml:space="preserve">(20 pt) </w:t>
      </w:r>
      <w:r w:rsidDel="00000000" w:rsidR="00000000" w:rsidRPr="00000000">
        <w:rPr>
          <w:rFonts w:ascii="Garamond" w:cs="Garamond" w:eastAsia="Garamond" w:hAnsi="Garamond"/>
          <w:b w:val="1"/>
          <w:color w:val="000000"/>
          <w:sz w:val="40"/>
          <w:szCs w:val="40"/>
          <w:rtl w:val="0"/>
        </w:rPr>
        <w:t xml:space="preserve">Title: The title should be short, clear and informative, but does not exceed 20 words</w:t>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Author(s) Name</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Author’s Affiliations</w:t>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Corresponding Author Email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Abstract (250 words maximum)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Lorem ipsum dolor sit amet, consectetur adipiscing elit. Sed sem mi, condimentum nec ornare ut, aliquam consequat magna. Aenean pellentesque odio eu quam efficitur blandit. Nulla facilisi. Fusce pellentesque libero eu felis eleifend, tristique suscipit libero finibus. Quisque sit amet auctor lacus, eget hendrerit metus. Aliquam varius diam nunc, ac condimentum ante finibus eu. Aenean aliquet justo velit, eu luctus sem dictum in. Etiam tempor malesuada ex nec consequat. Vivamus hendrerit lorem nec egestas ornare. Etiam sed urna a urna ultrices suscipit. Praesent sodales quis dolor ac tincidunt.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Keywords: Lorem, ipsum, dolor, sit amet.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Lorem ipsum dolor sit amet, consectetur adipiscing elit. Sed sem mi, condimentum nec ornare ut, aliquam consequat magna. Aenean pellentesque odio eu quam efficitur blandit. Nulla facilisi. Fusce pellentesque libero eu felis eleifend, tristique suscipit libero finibus. Quisque sit amet auctor lacus, eget hendrerit metus. Aliquam varius diam nunc, ac condimentum ante finibus eu. Aenean aliquet justo velit, eu luctus sem dictum in. Etiam tempor malesuada ex nec consequat. Vivamus hendrerit lorem nec egestas ornare. Etiam sed urna a urna ultrices suscipit. Praesent sodales quis dolor ac tincidunt.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Aenean quam nunc, iaculis ut rutrum quis, ornare et libero. Pellentesque sem erat, ultrices congue est at, semper vehicula est. Maecenas fermentum auctor nisl elementum ultricies. Fusce urna lacus, ullamcorper et odio at, placerat facilisis lorem. Phasellus luctus, ante nec vestibulum maximus, odio eros posuere dolor, sed imperdiet mauris metus vitae massa. Phasellus sit amet cursus purus, vel volutpat ante. Phasellus vehicula vestibulum lorem, quis rhoncus leo vehicula vel. Suspendisse in nisi sit amet mauris placerat lobortis.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Ut nec lacus nunc. In lectus velit, cursus scelerisque ligula id, rutrum viverra turpis. In id viverra urna. Duis non elit vel justo fringilla iaculis eget sit amet felis. Sed at massa justo. Donec dapibus orci eu congue aliquam. Donec erat tortor, fringilla ac sapien quis, dapibus tincidunt eros. Curabitur dapibus ante eget velit cursus interdum. Maecenas luctus augue ut aliquam tincidunt. Vivamus nec dui nisi. Nam consectetur tortor purus, vitae posuere elit pharetra ac. Vestibulum ac tellus elit. Sed egestas pretium velit eu tincidunt.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Phasellus euismod elit elit, id cursus est posuere in. Nullam a iaculis massa. Praesent condimentum pharetra nisl a facilisis. Nulla efficitur posuere aliquam. Quisque sed tellus tempus odio semper tempus quis vel massa. Integer imperdiet cursus mauris. Aenean sagittis porttitor quam vitae porttitor. Aliquam nec ligula ipsum. Ut laoreet arcu magna, sit amet malesuada nisi consectetur non. In vitae lacinia elit. Duis eget felis vitae metus porta varius id sit amet justo. In pharetra auctor enim in eleifend. Proin viverra varius bibendum. Curabitur gravida vel magna eu porttitor. Donec purus diam, facilisis eu nisl in, egestas tristique est.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Morbi faucibus hendrerit tortor, eget varius risus. Duis porta, urna eu convallis sodales, lacus ex efficitur diam, eu lobortis justo nisl non ipsum. Mauris euismod pretium ex. Suspendisse dignissim, augue eu rhoncus commodo, nunc tellus bibendum augue, non euismod sapien augue eget mauris. Nullam placerat, massa in interdum efficitur, nibh est dapibus magna, nec sagittis lorem dui at elit. Cras ultrices mauris eget finibus condimentum. Aenean erat arcu, elementum sed nisi sed, auctor rutrum ipsum. Pellentesque dictum interdum mi vel commodo. Orci varius natoque penatibus et magnis dis parturient montes, nascetur ridiculus mus. Nulla placerat sagittis leo, a commodo ante vehicula vitae. Cras a dui porta, consequat mauris nec, efficitur nibh. Vivamus tristique posuere dolor nec ultricies. Proin a porttitor nisi, in faucibus velit. Vestibulum gravida enim at ligula pretium, non viverra mauris blandit.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LITERATURE REVIEW AND HYPOTHESIS DEVELOPMENT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Literature Review and Hypothesis Development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Lorem ipsum dolor sit amet, consectetur adipiscing elit. Sed sem mi, condimentum nec ornare ut, aliquam consequat magna. Aenean pellentesque odio eu quam efficitur blandit. Nulla facilisi. Fusce pellentesque libero eu felis eleifend, tristique suscipit libero finibus. Quisque sit amet auctor lacus, eget hendrerit metus. Aliquam varius diam nunc, ac condimentum ante finibus eu. Aenean aliquet justo velit, eu luctus sem dictum in. Etiam tempor malesuada ex nec consequat. Vivamus hendrerit lorem nec egestas ornare. Etiam sed urna a urna ultrices suscipit. Praesent sodales quis dolor ac tincidunt.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Aenean quam nunc, iaculis ut rutrum quis, ornare et libero. Pellentesque sem erat, ultrices congue est at, semper vehicula est. Maecenas fermentum auctor nisl elementum ultricies. Fusce urna lacus, ullamcorper et odio at, placerat facilisis lorem. Phasellus luctus, ante nec vestibulum maximus, odio eros posuere dolor, sed imperdiet mauris metus vitae massa. Phasellus sit amet cursus purus, vel volutpat ante. Phasellus vehicula vestibulum lorem, quis rhoncus leo vehicula vel. Suspendisse in nisi sit amet mauris placerat lobortis.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Ut nec lacus nunc. In lectus velit, cursus scelerisque ligula id, rutrum viverra turpis. In id viverra urna. Duis non elit vel justo fringilla iaculis eget sit amet felis. Sed at massa justo. Donec dapibus orci eu congue aliquam. Donec erat tortor, fringilla ac sapien quis, dapibus tincidunt eros. Curabitur dapibus ante eget velit cursus interdum. Maecenas luctus augue ut aliquam tincidunt. Vivamus nec dui nisi. Nam consectetur tortor purus, vitae posuere elit pharetra ac. Vestibulum ac tellus elit. Sed egestas pretium velit eu tincidunt.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Phasellus euismod elit elit, id cursus est posuere in. Nullam a iaculis massa. Praesent condimentum pharetra nisl a facilisis. Nulla efficitur posuere aliquam. Quisque sed tellus tempus odio semper tempus quis vel massa. Integer imperdiet cursus mauris. Aenean sagittis porttitor quam vitae porttitor. Aliquam nec ligula ipsum. Ut laoreet arcu magna, sit amet malesuada nisi consectetur non. In vitae lacinia elit. Duis eget felis vitae metus porta varius id sit amet justo. In pharetra auctor enim in eleifend. Proin viverra varius bibendum. Curabitur gravida vel magna eu porttitor. Donec purus diam, facilisis eu nisl in, egestas tristique est.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Morbi faucibus hendrerit tortor, eget varius risus. Duis porta, urna eu convallis sodales, lacus ex efficitur diam, eu lobortis justo nisl non ipsum. Mauris euismod pretium ex. Suspendisse dignissim, augue eu rhoncus commodo, nunc tellus bibendum augue, non euismod sapien augue eget mauris. Nullam placerat, massa in interdum efficitur, nibh est dapibus magna, nec sagittis lorem dui at elit. Cras ultrices mauris eget finibus condimentum. Aenean erat arcu, elementum sed nisi sed, auctor rutrum ipsum. Pellentesque dictum interdum mi vel commodo. Orci varius natoque penatibus et magnis dis parturient montes, nascetur ridiculus mus. Nulla placerat sagittis leo, a commodo ante vehicula vitae. Cras a dui porta, consequat mauris nec, efficitur nibh. Vivamus tristique posuere dolor nec ultricies. Proin a porttitor nisi, in faucibus velit. Vestibulum gravida enim at ligula pretium, non viverra mauris blandit.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METHODS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Aenean quam nunc, iaculis ut rutrum quis, ornare et libero. Pellentesque sem erat, ultrices congue est at, semper vehicula est. Maecenas fermentum auctor nisl elementum ultricies. Fusce urna lacus, ullamcorper et odio at, placerat facilisis lorem. Phasellus luctus, ante nec vestibulum maximus, odio eros posuere dolor, sed imperdiet mauris metus vitae massa. Phasellus sit amet cursus purus, vel volutpat ante. Phasellus vehicula vestibulum lorem, quis rhoncus leo vehicula vel. Suspendisse in nisi sit amet mauris placerat lobortis.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Ut nec lacus nunc. In lectus velit, cursus scelerisque ligula id, rutrum viverra turpis. In id viverra urna. Duis non elit vel justo fringilla iaculis eget sit amet felis. Sed at massa justo. Donec dapibus orci eu congue aliquam. Donec erat tortor, fringilla ac sapien quis, dapibus tincidunt eros. Curabitur dapibus ante eget velit cursus interdum. Maecenas luctus augue ut aliquam tincidunt. Vivamus nec dui nisi. Nam consectetur tortor purus, vitae posuere elit pharetra ac. Vestibulum ac tellus elit. Sed egestas pretium velit eu tincidunt.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Phasellus euismod elit elit, id cursus est posuere in. Nullam a iaculis massa. Praesent condimentum pharetra nisl a facilisis. Nulla efficitur posuere aliquam. Quisque sed tellus tempus odio semper tempus quis vel massa. Integer imperdiet cursus mauris. Aenean sagittis porttitor quam vitae porttitor. Aliquam nec ligula ipsum. Ut laoreet arcu magna, sit amet malesuada nisi consectetur non. In vitae lacinia elit. Duis eget felis vitae metus porta varius id sit amet justo. In pharetra auctor enim in eleifend. Proin viverra varius bibendum. Curabitur gravida vel magna eu porttitor. Donec purus diam, facilisis eu nisl in, egestas tristique est.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Morbi faucibus hendrerit tortor, eget varius risus. Duis porta, urna eu convallis sodales, lacus ex efficitur diam, eu lobortis justo nisl non ipsum. Mauris euismod pretium ex. Suspendisse dignissim, augue eu rhoncus commodo, nunc tellus bibendum augue, non euismod sapien augue eget mauris. Nullam placerat, massa in interdum efficitur, nibh est dapibus magna, nec sagittis lorem dui at elit. Cras ultrices mauris eget finibus condimentum. Aenean erat arcu, elementum sed nisi sed, auctor rutrum ipsum. Pellentesque dictum interdum mi vel commodo. Orci varius natoque penatibus et magnis dis parturient montes, nascetur ridiculus mus. Nulla placerat sagittis leo, a commodo ante vehicula vitae. Cras a dui porta, consequat mauris nec, efficitur nibh. Vivamus tristique posuere dolor nec ultricies. Proin a porttitor nisi, in faucibus velit. Vestibulum gravida enim at ligula pretium, non viverra mauris blandit</w:t>
      </w:r>
    </w:p>
    <w:p w:rsidR="00000000" w:rsidDel="00000000" w:rsidP="00000000" w:rsidRDefault="00000000" w:rsidRPr="00000000" w14:paraId="00000021">
      <w:pPr>
        <w:spacing w:after="0" w:before="120" w:line="240" w:lineRule="auto"/>
        <w:jc w:val="center"/>
        <w:rPr>
          <w:rFonts w:ascii="Garamond" w:cs="Garamond" w:eastAsia="Garamond" w:hAnsi="Garamond"/>
          <w:b w:val="1"/>
          <w:sz w:val="24"/>
          <w:szCs w:val="24"/>
        </w:rPr>
      </w:pPr>
      <w:r w:rsidDel="00000000" w:rsidR="00000000" w:rsidRPr="00000000">
        <w:rPr/>
        <mc:AlternateContent>
          <mc:Choice Requires="wpg">
            <w:drawing>
              <wp:inline distB="0" distT="0" distL="0" distR="0">
                <wp:extent cx="5264430" cy="2409825"/>
                <wp:effectExtent b="0" l="0" r="0" t="0"/>
                <wp:docPr id="1384239881" name=""/>
                <a:graphic>
                  <a:graphicData uri="http://schemas.microsoft.com/office/word/2010/wordprocessingGroup">
                    <wpg:wgp>
                      <wpg:cNvGrpSpPr/>
                      <wpg:grpSpPr>
                        <a:xfrm>
                          <a:off x="2669000" y="2553325"/>
                          <a:ext cx="5264430" cy="2409825"/>
                          <a:chOff x="2669000" y="2553325"/>
                          <a:chExt cx="5354000" cy="2499375"/>
                        </a:xfrm>
                      </wpg:grpSpPr>
                      <wpg:grpSp>
                        <wpg:cNvGrpSpPr/>
                        <wpg:grpSpPr>
                          <a:xfrm>
                            <a:off x="2713785" y="2575088"/>
                            <a:ext cx="5264430" cy="2409825"/>
                            <a:chOff x="0" y="0"/>
                            <a:chExt cx="5595620" cy="2875397"/>
                          </a:xfrm>
                        </wpg:grpSpPr>
                        <wps:wsp>
                          <wps:cNvSpPr/>
                          <wps:cNvPr id="3" name="Shape 3"/>
                          <wps:spPr>
                            <a:xfrm>
                              <a:off x="0" y="0"/>
                              <a:ext cx="5595600" cy="2875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62025" y="0"/>
                              <a:ext cx="1711805" cy="498021"/>
                            </a:xfrm>
                            <a:prstGeom prst="rect">
                              <a:avLst/>
                            </a:prstGeom>
                            <a:noFill/>
                            <a:ln cap="flat" cmpd="sng" w="9525">
                              <a:solidFill>
                                <a:schemeClr val="dk1"/>
                              </a:solidFill>
                              <a:prstDash val="solid"/>
                              <a:miter lim="800000"/>
                              <a:headEnd len="sm" w="sm" type="none"/>
                              <a:tailEnd len="sm" w="sm" type="none"/>
                            </a:ln>
                            <a:effectLst>
                              <a:outerShdw blurRad="40000" rotWithShape="0" dir="5400000" dist="23000">
                                <a:srgbClr val="80808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24"/>
                                    <w:vertAlign w:val="baseline"/>
                                  </w:rPr>
                                  <w:t xml:space="preserve">Lorem Ipsum</w:t>
                                </w:r>
                              </w:p>
                            </w:txbxContent>
                          </wps:txbx>
                          <wps:bodyPr anchorCtr="0" anchor="ctr" bIns="45700" lIns="91425" spcFirstLastPara="1" rIns="91425" wrap="square" tIns="45700">
                            <a:noAutofit/>
                          </wps:bodyPr>
                        </wps:wsp>
                        <wps:wsp>
                          <wps:cNvSpPr/>
                          <wps:cNvPr id="5" name="Shape 5"/>
                          <wps:spPr>
                            <a:xfrm>
                              <a:off x="447675" y="590550"/>
                              <a:ext cx="1717088" cy="493594"/>
                            </a:xfrm>
                            <a:prstGeom prst="rect">
                              <a:avLst/>
                            </a:prstGeom>
                            <a:noFill/>
                            <a:ln cap="flat" cmpd="sng" w="9525">
                              <a:solidFill>
                                <a:schemeClr val="dk1"/>
                              </a:solidFill>
                              <a:prstDash val="solid"/>
                              <a:miter lim="800000"/>
                              <a:headEnd len="sm" w="sm" type="none"/>
                              <a:tailEnd len="sm" w="sm" type="none"/>
                            </a:ln>
                            <a:effectLst>
                              <a:outerShdw blurRad="40000" rotWithShape="0" dir="5400000" dist="23000">
                                <a:srgbClr val="80808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24"/>
                                    <w:vertAlign w:val="baseline"/>
                                  </w:rPr>
                                  <w:t xml:space="preserve">Dolor Sit Amet</w:t>
                                </w:r>
                              </w:p>
                            </w:txbxContent>
                          </wps:txbx>
                          <wps:bodyPr anchorCtr="0" anchor="ctr" bIns="45700" lIns="91425" spcFirstLastPara="1" rIns="91425" wrap="square" tIns="45700">
                            <a:noAutofit/>
                          </wps:bodyPr>
                        </wps:wsp>
                        <wps:wsp>
                          <wps:cNvSpPr/>
                          <wps:cNvPr id="6" name="Shape 6"/>
                          <wps:spPr>
                            <a:xfrm>
                              <a:off x="0" y="1181100"/>
                              <a:ext cx="1824855" cy="514621"/>
                            </a:xfrm>
                            <a:prstGeom prst="rect">
                              <a:avLst/>
                            </a:prstGeom>
                            <a:noFill/>
                            <a:ln cap="flat" cmpd="sng" w="9525">
                              <a:solidFill>
                                <a:schemeClr val="dk1"/>
                              </a:solidFill>
                              <a:prstDash val="solid"/>
                              <a:miter lim="800000"/>
                              <a:headEnd len="sm" w="sm" type="none"/>
                              <a:tailEnd len="sm" w="sm" type="none"/>
                            </a:ln>
                            <a:effectLst>
                              <a:outerShdw blurRad="40000" rotWithShape="0" dir="5400000" dist="23000">
                                <a:srgbClr val="80808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24"/>
                                    <w:vertAlign w:val="baseline"/>
                                  </w:rPr>
                                  <w:t xml:space="preserve">Aenean id leo ultricies</w:t>
                                </w:r>
                              </w:p>
                            </w:txbxContent>
                          </wps:txbx>
                          <wps:bodyPr anchorCtr="0" anchor="ctr" bIns="45700" lIns="91425" spcFirstLastPara="1" rIns="91425" wrap="square" tIns="45700">
                            <a:noAutofit/>
                          </wps:bodyPr>
                        </wps:wsp>
                        <wps:wsp>
                          <wps:cNvSpPr/>
                          <wps:cNvPr id="7" name="Shape 7"/>
                          <wps:spPr>
                            <a:xfrm>
                              <a:off x="447675" y="1790700"/>
                              <a:ext cx="1706356" cy="493594"/>
                            </a:xfrm>
                            <a:prstGeom prst="rect">
                              <a:avLst/>
                            </a:prstGeom>
                            <a:noFill/>
                            <a:ln cap="flat" cmpd="sng" w="9525">
                              <a:solidFill>
                                <a:schemeClr val="dk1"/>
                              </a:solidFill>
                              <a:prstDash val="solid"/>
                              <a:miter lim="800000"/>
                              <a:headEnd len="sm" w="sm" type="none"/>
                              <a:tailEnd len="sm" w="sm" type="none"/>
                            </a:ln>
                            <a:effectLst>
                              <a:outerShdw blurRad="40000" rotWithShape="0" dir="5400000" dist="23000">
                                <a:srgbClr val="80808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24"/>
                                    <w:vertAlign w:val="baseline"/>
                                  </w:rPr>
                                  <w:t xml:space="preserve">Nam arcu elit</w:t>
                                </w:r>
                              </w:p>
                            </w:txbxContent>
                          </wps:txbx>
                          <wps:bodyPr anchorCtr="0" anchor="ctr" bIns="45700" lIns="91425" spcFirstLastPara="1" rIns="91425" wrap="square" tIns="45700">
                            <a:noAutofit/>
                          </wps:bodyPr>
                        </wps:wsp>
                        <wps:wsp>
                          <wps:cNvSpPr/>
                          <wps:cNvPr id="8" name="Shape 8"/>
                          <wps:spPr>
                            <a:xfrm>
                              <a:off x="3476625" y="1171575"/>
                              <a:ext cx="2118995" cy="558800"/>
                            </a:xfrm>
                            <a:prstGeom prst="rect">
                              <a:avLst/>
                            </a:prstGeom>
                            <a:noFill/>
                            <a:ln cap="flat" cmpd="sng" w="9525">
                              <a:solidFill>
                                <a:schemeClr val="dk1"/>
                              </a:solidFill>
                              <a:prstDash val="solid"/>
                              <a:miter lim="800000"/>
                              <a:headEnd len="sm" w="sm" type="none"/>
                              <a:tailEnd len="sm" w="sm" type="none"/>
                            </a:ln>
                            <a:effectLst>
                              <a:outerShdw blurRad="40000" rotWithShape="0" dir="5400000" dist="23000">
                                <a:srgbClr val="80808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24"/>
                                    <w:vertAlign w:val="baseline"/>
                                  </w:rPr>
                                  <w:t xml:space="preserve">Donec suscipit erat mi</w:t>
                                </w:r>
                              </w:p>
                            </w:txbxContent>
                          </wps:txbx>
                          <wps:bodyPr anchorCtr="0" anchor="ctr" bIns="45700" lIns="91425" spcFirstLastPara="1" rIns="91425" wrap="square" tIns="45700">
                            <a:noAutofit/>
                          </wps:bodyPr>
                        </wps:wsp>
                        <wps:wsp>
                          <wps:cNvSpPr/>
                          <wps:cNvPr id="9" name="Shape 9"/>
                          <wps:spPr>
                            <a:xfrm>
                              <a:off x="962025" y="2381250"/>
                              <a:ext cx="1727820" cy="494147"/>
                            </a:xfrm>
                            <a:prstGeom prst="rect">
                              <a:avLst/>
                            </a:prstGeom>
                            <a:noFill/>
                            <a:ln cap="flat" cmpd="sng" w="9525">
                              <a:solidFill>
                                <a:schemeClr val="dk1"/>
                              </a:solidFill>
                              <a:prstDash val="solid"/>
                              <a:miter lim="800000"/>
                              <a:headEnd len="sm" w="sm" type="none"/>
                              <a:tailEnd len="sm" w="sm" type="none"/>
                            </a:ln>
                            <a:effectLst>
                              <a:outerShdw blurRad="40000" rotWithShape="0" dir="5400000" dist="23000">
                                <a:srgbClr val="808080">
                                  <a:alpha val="34901"/>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24"/>
                                    <w:vertAlign w:val="baseline"/>
                                  </w:rPr>
                                  <w:t xml:space="preserve">Suspendisse consectetur</w:t>
                                </w:r>
                              </w:p>
                            </w:txbxContent>
                          </wps:txbx>
                          <wps:bodyPr anchorCtr="0" anchor="ctr" bIns="45700" lIns="91425" spcFirstLastPara="1" rIns="91425" wrap="square" tIns="45700">
                            <a:noAutofit/>
                          </wps:bodyPr>
                        </wps:wsp>
                        <wpg:grpSp>
                          <wpg:cNvGrpSpPr/>
                          <wpg:grpSpPr>
                            <a:xfrm>
                              <a:off x="1828800" y="247650"/>
                              <a:ext cx="1649250" cy="2372360"/>
                              <a:chOff x="0" y="0"/>
                              <a:chExt cx="1649250" cy="2372360"/>
                            </a:xfrm>
                          </wpg:grpSpPr>
                          <wps:wsp>
                            <wps:cNvCnPr/>
                            <wps:spPr>
                              <a:xfrm>
                                <a:off x="847725" y="0"/>
                                <a:ext cx="792000" cy="999490"/>
                              </a:xfrm>
                              <a:prstGeom prst="straightConnector1">
                                <a:avLst/>
                              </a:prstGeom>
                              <a:noFill/>
                              <a:ln cap="flat" cmpd="sng" w="9525">
                                <a:solidFill>
                                  <a:schemeClr val="dk1"/>
                                </a:solidFill>
                                <a:prstDash val="solid"/>
                                <a:round/>
                                <a:headEnd len="med" w="med" type="none"/>
                                <a:tailEnd len="med" w="med" type="triangle"/>
                              </a:ln>
                              <a:effectLst>
                                <a:outerShdw blurRad="40000" rotWithShape="0" dir="5400000" dist="20000">
                                  <a:srgbClr val="808080">
                                    <a:alpha val="37647"/>
                                  </a:srgbClr>
                                </a:outerShdw>
                              </a:effectLst>
                            </wps:spPr>
                            <wps:bodyPr anchorCtr="0" anchor="ctr" bIns="91425" lIns="91425" spcFirstLastPara="1" rIns="91425" wrap="square" tIns="91425">
                              <a:noAutofit/>
                            </wps:bodyPr>
                          </wps:wsp>
                          <wps:wsp>
                            <wps:cNvCnPr/>
                            <wps:spPr>
                              <a:xfrm>
                                <a:off x="333375" y="561975"/>
                                <a:ext cx="1314450" cy="552450"/>
                              </a:xfrm>
                              <a:prstGeom prst="straightConnector1">
                                <a:avLst/>
                              </a:prstGeom>
                              <a:noFill/>
                              <a:ln cap="flat" cmpd="sng" w="9525">
                                <a:solidFill>
                                  <a:schemeClr val="dk1"/>
                                </a:solidFill>
                                <a:prstDash val="solid"/>
                                <a:round/>
                                <a:headEnd len="med" w="med" type="none"/>
                                <a:tailEnd len="med" w="med" type="triangle"/>
                              </a:ln>
                              <a:effectLst>
                                <a:outerShdw blurRad="40000" rotWithShape="0" dir="5400000" dist="20000">
                                  <a:srgbClr val="808080">
                                    <a:alpha val="37647"/>
                                  </a:srgbClr>
                                </a:outerShdw>
                              </a:effectLst>
                            </wps:spPr>
                            <wps:bodyPr anchorCtr="0" anchor="ctr" bIns="91425" lIns="91425" spcFirstLastPara="1" rIns="91425" wrap="square" tIns="91425">
                              <a:noAutofit/>
                            </wps:bodyPr>
                          </wps:wsp>
                          <wps:wsp>
                            <wps:cNvCnPr/>
                            <wps:spPr>
                              <a:xfrm flipH="1" rot="10800000">
                                <a:off x="323850" y="1285875"/>
                                <a:ext cx="1323975" cy="502285"/>
                              </a:xfrm>
                              <a:prstGeom prst="straightConnector1">
                                <a:avLst/>
                              </a:prstGeom>
                              <a:noFill/>
                              <a:ln cap="flat" cmpd="sng" w="9525">
                                <a:solidFill>
                                  <a:schemeClr val="dk1"/>
                                </a:solidFill>
                                <a:prstDash val="solid"/>
                                <a:round/>
                                <a:headEnd len="med" w="med" type="none"/>
                                <a:tailEnd len="med" w="med" type="triangle"/>
                              </a:ln>
                              <a:effectLst>
                                <a:outerShdw blurRad="40000" rotWithShape="0" dir="5400000" dist="20000">
                                  <a:srgbClr val="808080">
                                    <a:alpha val="37647"/>
                                  </a:srgbClr>
                                </a:outerShdw>
                              </a:effectLst>
                            </wps:spPr>
                            <wps:bodyPr anchorCtr="0" anchor="ctr" bIns="91425" lIns="91425" spcFirstLastPara="1" rIns="91425" wrap="square" tIns="91425">
                              <a:noAutofit/>
                            </wps:bodyPr>
                          </wps:wsp>
                          <wps:wsp>
                            <wps:cNvCnPr/>
                            <wps:spPr>
                              <a:xfrm flipH="1" rot="10800000">
                                <a:off x="857250" y="1371600"/>
                                <a:ext cx="792000" cy="1000760"/>
                              </a:xfrm>
                              <a:prstGeom prst="straightConnector1">
                                <a:avLst/>
                              </a:prstGeom>
                              <a:noFill/>
                              <a:ln cap="flat" cmpd="sng" w="9525">
                                <a:solidFill>
                                  <a:schemeClr val="dk1"/>
                                </a:solidFill>
                                <a:prstDash val="solid"/>
                                <a:round/>
                                <a:headEnd len="med" w="med" type="none"/>
                                <a:tailEnd len="med" w="med" type="triangle"/>
                              </a:ln>
                              <a:effectLst>
                                <a:outerShdw blurRad="40000" rotWithShape="0" dir="5400000" dist="20000">
                                  <a:srgbClr val="808080">
                                    <a:alpha val="37647"/>
                                  </a:srgbClr>
                                </a:outerShdw>
                              </a:effectLst>
                            </wps:spPr>
                            <wps:bodyPr anchorCtr="0" anchor="ctr" bIns="91425" lIns="91425" spcFirstLastPara="1" rIns="91425" wrap="square" tIns="91425">
                              <a:noAutofit/>
                            </wps:bodyPr>
                          </wps:wsp>
                          <wps:wsp>
                            <wps:cNvCnPr/>
                            <wps:spPr>
                              <a:xfrm>
                                <a:off x="0" y="1190625"/>
                                <a:ext cx="1649095" cy="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264430" cy="2409825"/>
                <wp:effectExtent b="0" l="0" r="0" t="0"/>
                <wp:docPr id="138423988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264430" cy="2409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spacing w:after="0" w:before="120" w:line="240" w:lineRule="auto"/>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Figure 1. </w:t>
      </w:r>
      <w:r w:rsidDel="00000000" w:rsidR="00000000" w:rsidRPr="00000000">
        <w:rPr>
          <w:rFonts w:ascii="Garamond" w:cs="Garamond" w:eastAsia="Garamond" w:hAnsi="Garamond"/>
          <w:sz w:val="24"/>
          <w:szCs w:val="24"/>
          <w:rtl w:val="0"/>
        </w:rPr>
        <w:t xml:space="preserve">Lorem Ipsum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RESULT AND DISCUSSION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Aenean quam nunc, iaculis ut rutrum quis, ornare et libero. Pellentesque sem erat, ultrices congue est at, semper vehicula est. Maecenas fermentum auctor nisl elementum ultricies. Fusce urna lacus, ullamcorper et odio at, placerat facilisis lorem. Phasellus luctus, ante nec vestibulum maximus, odio eros posuere dolor, sed imperdiet mauris metus vitae massa. Phasellus sit amet cursus purus, vel volutpat ante. Phasellus vehicula vestibulum lorem, quis rhoncus leo vehicula vel. Suspendisse in nisi sit amet mauris placerat lobortis.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Ut nec lacus nunc. In lectus velit, cursus scelerisque ligula id, rutrum viverra turpis. In id viverra urna. Duis non elit vel justo fringilla iaculis eget sit amet felis. Sed at massa justo. Donec dapibus orci eu congue aliquam. Donec erat tortor, fringilla ac sapien quis, dapibus tincidunt eros. Curabitur dapibus ante eget velit cursus interdum. Maecenas luctus augue ut aliquam tincidunt. Vivamus nec dui nisi. Nam consectetur tortor purus, vitae posuere elit pharetra ac. Vestibulum ac tellus elit. Sed egestas pretium velit eu tincidunt.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Phasellus euismod elit elit, id cursus est posuere in. Nullam a iaculis massa. Praesent condimentum pharetra nisl a facilisis. Nulla efficitur posuere aliquam. Quisque sed tellus tempus odio semper tempus quis vel massa. Integer imperdiet cursus mauris. Aenean sagittis porttitor quam vitae porttitor. Aliquam nec ligula ipsum. Ut laoreet arcu magna, sit amet malesuada nisi consectetur non. In vitae lacinia elit. Duis eget felis vitae metus porta varius id sit amet justo. In pharetra auctor enim in eleifend. Proin viverra varius bibendum. Curabitur gravida vel magna eu porttitor. Donec purus diam, facilisis eu nisl in, egestas tristique est.</w:t>
      </w:r>
    </w:p>
    <w:p w:rsidR="00000000" w:rsidDel="00000000" w:rsidP="00000000" w:rsidRDefault="00000000" w:rsidRPr="00000000" w14:paraId="00000029">
      <w:pPr>
        <w:spacing w:after="120" w:line="240" w:lineRule="auto"/>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Tabel 1. </w:t>
      </w:r>
      <w:r w:rsidDel="00000000" w:rsidR="00000000" w:rsidRPr="00000000">
        <w:rPr>
          <w:rFonts w:ascii="Garamond" w:cs="Garamond" w:eastAsia="Garamond" w:hAnsi="Garamond"/>
          <w:sz w:val="24"/>
          <w:szCs w:val="24"/>
          <w:rtl w:val="0"/>
        </w:rPr>
        <w:t xml:space="preserve">Loren Ipsum</w:t>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85"/>
        <w:gridCol w:w="1123"/>
        <w:gridCol w:w="1174"/>
        <w:gridCol w:w="1207"/>
        <w:gridCol w:w="1308"/>
        <w:gridCol w:w="1575"/>
        <w:tblGridChange w:id="0">
          <w:tblGrid>
            <w:gridCol w:w="2685"/>
            <w:gridCol w:w="1123"/>
            <w:gridCol w:w="1174"/>
            <w:gridCol w:w="1207"/>
            <w:gridCol w:w="1308"/>
            <w:gridCol w:w="1575"/>
          </w:tblGrid>
        </w:tblGridChange>
      </w:tblGrid>
      <w:tr>
        <w:trPr>
          <w:cantSplit w:val="1"/>
          <w:tblHeader w:val="0"/>
        </w:trPr>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2A">
            <w:pPr>
              <w:widowControl w:val="0"/>
              <w:rPr>
                <w:rFonts w:ascii="Garamond" w:cs="Garamond" w:eastAsia="Garamond" w:hAnsi="Garamond"/>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2B">
            <w:pPr>
              <w:widowControl w:val="0"/>
              <w:ind w:left="60" w:right="60" w:firstLine="0"/>
              <w:jc w:val="center"/>
              <w:rPr>
                <w:rFonts w:ascii="Garamond" w:cs="Garamond" w:eastAsia="Garamond" w:hAnsi="Garamond"/>
              </w:rPr>
            </w:pPr>
            <w:r w:rsidDel="00000000" w:rsidR="00000000" w:rsidRPr="00000000">
              <w:rPr>
                <w:rFonts w:ascii="Garamond" w:cs="Garamond" w:eastAsia="Garamond" w:hAnsi="Garamond"/>
                <w:rtl w:val="0"/>
              </w:rPr>
              <w:t xml:space="preserve">N</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2C">
            <w:pPr>
              <w:widowControl w:val="0"/>
              <w:ind w:left="60" w:right="60" w:firstLine="0"/>
              <w:jc w:val="center"/>
              <w:rPr>
                <w:rFonts w:ascii="Garamond" w:cs="Garamond" w:eastAsia="Garamond" w:hAnsi="Garamond"/>
              </w:rPr>
            </w:pPr>
            <w:r w:rsidDel="00000000" w:rsidR="00000000" w:rsidRPr="00000000">
              <w:rPr>
                <w:rFonts w:ascii="Garamond" w:cs="Garamond" w:eastAsia="Garamond" w:hAnsi="Garamond"/>
                <w:rtl w:val="0"/>
              </w:rPr>
              <w:t xml:space="preserve">Minimum</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2D">
            <w:pPr>
              <w:widowControl w:val="0"/>
              <w:ind w:left="60" w:right="60" w:firstLine="0"/>
              <w:jc w:val="center"/>
              <w:rPr>
                <w:rFonts w:ascii="Garamond" w:cs="Garamond" w:eastAsia="Garamond" w:hAnsi="Garamond"/>
              </w:rPr>
            </w:pPr>
            <w:r w:rsidDel="00000000" w:rsidR="00000000" w:rsidRPr="00000000">
              <w:rPr>
                <w:rFonts w:ascii="Garamond" w:cs="Garamond" w:eastAsia="Garamond" w:hAnsi="Garamond"/>
                <w:rtl w:val="0"/>
              </w:rPr>
              <w:t xml:space="preserve">Maximum</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2E">
            <w:pPr>
              <w:widowControl w:val="0"/>
              <w:ind w:left="60" w:right="60" w:firstLine="0"/>
              <w:jc w:val="center"/>
              <w:rPr>
                <w:rFonts w:ascii="Garamond" w:cs="Garamond" w:eastAsia="Garamond" w:hAnsi="Garamond"/>
              </w:rPr>
            </w:pPr>
            <w:r w:rsidDel="00000000" w:rsidR="00000000" w:rsidRPr="00000000">
              <w:rPr>
                <w:rFonts w:ascii="Garamond" w:cs="Garamond" w:eastAsia="Garamond" w:hAnsi="Garamond"/>
                <w:rtl w:val="0"/>
              </w:rPr>
              <w:t xml:space="preserve">Mean</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02F">
            <w:pPr>
              <w:widowControl w:val="0"/>
              <w:ind w:left="60" w:right="60" w:firstLine="0"/>
              <w:jc w:val="center"/>
              <w:rPr>
                <w:rFonts w:ascii="Garamond" w:cs="Garamond" w:eastAsia="Garamond" w:hAnsi="Garamond"/>
              </w:rPr>
            </w:pPr>
            <w:r w:rsidDel="00000000" w:rsidR="00000000" w:rsidRPr="00000000">
              <w:rPr>
                <w:rFonts w:ascii="Garamond" w:cs="Garamond" w:eastAsia="Garamond" w:hAnsi="Garamond"/>
                <w:rtl w:val="0"/>
              </w:rPr>
              <w:t xml:space="preserve">Std. Deviation</w:t>
            </w:r>
          </w:p>
        </w:tc>
      </w:tr>
      <w:tr>
        <w:trPr>
          <w:cantSplit w:val="1"/>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30">
            <w:pPr>
              <w:widowControl w:val="0"/>
              <w:ind w:left="60" w:right="60" w:firstLine="0"/>
              <w:rPr>
                <w:rFonts w:ascii="Garamond" w:cs="Garamond" w:eastAsia="Garamond" w:hAnsi="Garamond"/>
              </w:rPr>
            </w:pPr>
            <w:r w:rsidDel="00000000" w:rsidR="00000000" w:rsidRPr="00000000">
              <w:rPr>
                <w:rFonts w:ascii="Garamond" w:cs="Garamond" w:eastAsia="Garamond" w:hAnsi="Garamond"/>
                <w:color w:val="000000"/>
                <w:rtl w:val="0"/>
              </w:rPr>
              <w:t xml:space="preserve">Lorem ipsum</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31">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133</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32">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.00</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33">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1.00</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34">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.654</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35">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.4774</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6">
            <w:pPr>
              <w:widowControl w:val="0"/>
              <w:ind w:left="60" w:right="60" w:firstLine="0"/>
              <w:rPr>
                <w:rFonts w:ascii="Garamond" w:cs="Garamond" w:eastAsia="Garamond" w:hAnsi="Garamond"/>
              </w:rPr>
            </w:pPr>
            <w:r w:rsidDel="00000000" w:rsidR="00000000" w:rsidRPr="00000000">
              <w:rPr>
                <w:rFonts w:ascii="Garamond" w:cs="Garamond" w:eastAsia="Garamond" w:hAnsi="Garamond"/>
                <w:color w:val="000000"/>
                <w:rtl w:val="0"/>
              </w:rPr>
              <w:t xml:space="preserve">Dolor sit amet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7">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133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8">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1.00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9">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2.00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A">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1.481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B">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.5015</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C">
            <w:pPr>
              <w:widowControl w:val="0"/>
              <w:ind w:left="60" w:right="60" w:firstLine="0"/>
              <w:rPr>
                <w:rFonts w:ascii="Garamond" w:cs="Garamond" w:eastAsia="Garamond" w:hAnsi="Garamond"/>
              </w:rPr>
            </w:pPr>
            <w:r w:rsidDel="00000000" w:rsidR="00000000" w:rsidRPr="00000000">
              <w:rPr>
                <w:rFonts w:ascii="Garamond" w:cs="Garamond" w:eastAsia="Garamond" w:hAnsi="Garamond"/>
                <w:rtl w:val="0"/>
              </w:rPr>
              <w:t xml:space="preserve">Luctus lacus euismod</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D">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133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E">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2.00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F">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3.00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0">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2.112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1">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.3175</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2">
            <w:pPr>
              <w:widowControl w:val="0"/>
              <w:ind w:left="60" w:right="60" w:firstLine="0"/>
              <w:rPr>
                <w:rFonts w:ascii="Garamond" w:cs="Garamond" w:eastAsia="Garamond" w:hAnsi="Garamond"/>
              </w:rPr>
            </w:pPr>
            <w:r w:rsidDel="00000000" w:rsidR="00000000" w:rsidRPr="00000000">
              <w:rPr>
                <w:rFonts w:ascii="Garamond" w:cs="Garamond" w:eastAsia="Garamond" w:hAnsi="Garamond"/>
                <w:rtl w:val="0"/>
              </w:rPr>
              <w:t xml:space="preserve">Aenean id leo ultricies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3">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133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4">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1.00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5">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2.00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6">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1.481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7">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.5015</w:t>
            </w:r>
          </w:p>
        </w:tc>
      </w:tr>
      <w:tr>
        <w:trPr>
          <w:cantSplit w:val="1"/>
          <w:tblHeader w:val="0"/>
        </w:trPr>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8">
            <w:pPr>
              <w:widowControl w:val="0"/>
              <w:ind w:left="60" w:right="60" w:firstLine="0"/>
              <w:rPr>
                <w:rFonts w:ascii="Garamond" w:cs="Garamond" w:eastAsia="Garamond" w:hAnsi="Garamond"/>
              </w:rPr>
            </w:pPr>
            <w:r w:rsidDel="00000000" w:rsidR="00000000" w:rsidRPr="00000000">
              <w:rPr>
                <w:rFonts w:ascii="Garamond" w:cs="Garamond" w:eastAsia="Garamond" w:hAnsi="Garamond"/>
                <w:rtl w:val="0"/>
              </w:rPr>
              <w:t xml:space="preserve">Orci ex congue eros</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9">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133</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A">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1.00</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B">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2.00</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C">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1.563</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D">
            <w:pPr>
              <w:widowControl w:val="0"/>
              <w:ind w:left="60" w:right="60" w:firstLine="0"/>
              <w:jc w:val="right"/>
              <w:rPr>
                <w:rFonts w:ascii="Garamond" w:cs="Garamond" w:eastAsia="Garamond" w:hAnsi="Garamond"/>
              </w:rPr>
            </w:pPr>
            <w:r w:rsidDel="00000000" w:rsidR="00000000" w:rsidRPr="00000000">
              <w:rPr>
                <w:rFonts w:ascii="Garamond" w:cs="Garamond" w:eastAsia="Garamond" w:hAnsi="Garamond"/>
                <w:rtl w:val="0"/>
              </w:rPr>
              <w:t xml:space="preserve">.4977</w:t>
            </w:r>
          </w:p>
        </w:tc>
      </w:tr>
    </w:tbl>
    <w:p w:rsidR="00000000" w:rsidDel="00000000" w:rsidP="00000000" w:rsidRDefault="00000000" w:rsidRPr="00000000" w14:paraId="0000004E">
      <w:pPr>
        <w:spacing w:after="0" w:line="240" w:lineRule="auto"/>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Morbi faucibus hendrerit tortor, eget varius risus. Duis porta, urna eu convallis sodales, lacus ex efficitur diam, eu lobortis justo nisl non ipsum. Mauris euismod pretium ex. Suspendisse dignissim, augue eu rhoncus commodo, nunc tellus bibendum augue, non euismod sapien augue eget mauris. Nullam placerat, massa in interdum efficitur, nibh est dapibus magna, nec sagittis lorem dui at elit. Cras ultrices mauris eget finibus condimentum. Aenean erat arcu, elementum sed nisi sed, auctor rutrum ipsum. Pellentesque dictum interdum mi vel commodo. Orci varius natoque penatibus et magnis dis parturient montes, nascetur ridiculus mus. Nulla placerat sagittis leo, a commodo ante vehicula vitae. Cras a dui porta, consequat mauris nec, efficitur nibh. Vivamus tristique posuere dolor nec ultricies. Proin a porttitor nisi, in faucibus velit. Vestibulum gravida enim at ligula pretium, non viverra mauris blandit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Lorem ipsum dolor sit amet, consectetur adipiscing elit. Sed sem mi, condimentum nec ornare ut, aliquam consequat magna. Aenean pellentesque odio eu quam efficitur blandit. Nulla facilisi. Fusce pellentesque libero eu felis eleifend, tristique suscipit libero finibus. Quisque sit amet auctor lacus, eget hendrerit metus. Aliquam varius diam nunc, ac condimentum ante finibus eu. Aenean aliquet justo velit, eu luctus sem dictum in. Etiam tempor malesuada ex nec consequat. Vivamus hendrerit lorem nec egestas ornare. Etiam sed urna a urna ultrices suscipit. Praesent sodales quis dolor ac tincidunt.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Alipour, M, Mohammadi, M. F. S., &amp; Derakhshan, H. (2015). Determinants of capital structure: an empirical study of firms in Iran.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International Journal of Law and Management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57(1), 53-83.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Altman, E. (1968). Financial ratios, discriminant analysis and the prediction of corporate bankruptcy.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23(4), 589-609.</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Anderson, R. W. &amp; Carverhill, A. (2012). Corporate liquidity and capital structure.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Review of Financial Studies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25(3), 797-837.</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Bancel, F. &amp; Mittoo, U. R. (2011). Financial flexibility and the impact of the global financial crisis: Evidence from France.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International Journal of Managerial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7(2), 179-216.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Berk, J. B., Stanton, R. &amp; Zechner, J. (2010). Human capital, bankruptcy, and capital structure.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65(3), 891-926.</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Brigham, E. F. &amp; Ehrhardt, M. C. (2005).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Financial Management: Theory and Practice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(Ed. ke 11)</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USA: South-Western, Thomson.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Brigham, E. F. &amp; Houston, J. F. (2011).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Dasar-Dasar Manajemen Keuangan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(Buku 2)</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Jakarta, Indonesia: Salemba Empat.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Borochin, P. &amp; Yang, J. (2017). Options, equity risks, and the value of capital structure adjustments.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Corporate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42, 150-178.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Byoun, S. (2008). How and when do firms adjust their capital structures toward targets?.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LXIII (6), 3069 - 3096.</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Campbell, G., &amp; Rogers, M. (2018). Capital structure volatility in Europe.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International Review of Financial Analysis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55, 128–139.</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Daskalakis, N., Balios, D., &amp; Dalla, V. (2017). The behaviour of smes' capital structure determinants in different macroeconomic states.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Corporate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46, 248-260.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Denis, D. J. (2011). Financial flexibility and corporate liquidity.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Corporate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17, 667–674.</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Dewi, W. &amp; Lestari, H. S. (2014). Faktor-Faktor penentu struktur modal perusahaan non keuangan yang terdaftar di Bursa Efek Indonesia.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Manajemen dan Pemasaran Jasa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7(2).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Eldomiaty, T. (2007). Determinants of corporate capital structure: evidence from an emerging economy.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International Journal of Commerce and Management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17(1/2), 25-43.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Ghozali, I. (2005).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Aplikasi Analisis Multivariate dengan Program SPSS (Ed. Ketiga)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Semarang, Indonesia: Universitas Diponegoro.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Gilrita, Dzulkirom, M. &amp; Wi-Endang, M. G. (2015). Analisis altman (z-score) sebagai salah satu cara untuk mengukur potensi kebangkrutan perusahaan.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Administrasi Bisnis (JAB)</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25(1), 1-9.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Gupta, S., Jain, P.K., &amp; Yadav, S.S. (2011). Generating financial flexibility and financial performance through disinvestment: a comparative study of disinvested and non-disinvested public sector enterprises in India.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Global Journal of Flexible Systems Management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12, 27-46.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Hanafi, M. M. (2013)</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Manajemen Keuangan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(Ed. Pertama)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Yogyakarta, Indonesia: BPFE.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Hanafi, M. M. &amp; Halim, A. (2009).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Analisis Laporan Keuangan (Ed. Keempat).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Yogyakarta, Indonesia: UPP STIM YKPN.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Harjito, D. A. (2011). Teori pecking order dan trade-off dalam analisis struktur modal di Bursa Efek Indonesia.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Siasat Bisnis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15(2), 187-196.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Hermuningsih, S. (2013). Pengaruh profitabilitas, growth opportunity, sruktur modal terhadap nilai perusahaan pada perusahaan publik di Indonesia.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Buletin Ekonomi Moneter dan Perbankan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Huang, S. S., Yang, J., &amp; Carroll, N. (2017). Taxes, bankruptcy costs, and capital structure in for-profit and not-for-profit hospitals.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Health Services Management Research</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1–12.</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Husnan, S. &amp; Pudjiastuti, E. (2012).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Dasar Dasar Manajemen Keuangan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Edisi kelima. Yogyakarta, Indonesia: UPP STIM YKPN.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Jensen, M. &amp; Meckling, W. (1976). Theory of the firm: managerial behavior, agency costs, and ownership structure.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Financial Economics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3, 305-360.</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Kartika, A. (2016). Pengaruh profitabilitas, struktur aset, pertumbuhan penjualan dan ukuran perusahaan terhadap struktur modal perusahaan manufaktur di Bursa Efek Indonesia.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INFOKAM</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Kementrian Perencanaan Pembangunan Nasional (Bapenas). (2014).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Rencana Pembangunan Jangka Menengah Nasional 2015-2019 (Buku I)</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Jakarta, Indonesia: Kementrian Perencanaan Pembangunan Nasional RI.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Margaretha, F. &amp; Ginting, K. R. (2016). Faktor-faktor yang mempengaruhi struktur modal pada perusahaan BUMN di Indonesia.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Ekonomi,</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7(1), 55-67.</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Martellini, L., et al. (2017). Capital structure decisions and the optimal design of corporate market debt programs.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Corporate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49, 141-167.</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Murti, A.P., Achsani, N. A., &amp; Andati, T. (2016). Faktor-faktor yang mempengaruhi fleksibilitas keuangan (studi kasus pada perusahaan yang terdaftar pada Bursa Efek Indonesia (Periode 2008-2012).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Aplikasi Manajemen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14(3), 499-514.</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Myers, S. C., &amp; Majluf, N. S. (1984). Corporate financing and investment decisions when firms have information that investors do not have.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Financial Economics,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13, 187–221.</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Pratiwi, I. &amp; Supriadi, Y. (2014). Analisis kebangkrutan perusahaan dalam hubungannya dengan kebijakan struktur modal dan biaya modal pada PT Indo Tambangraya Megah Tbk dan PT Bukit Asam Tbk.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Ilmiah Manajemen Kesatuan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2(1), 1-8.</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Putri, E. S. &amp; Wisudanto. (2016). Struktur pembiayaan pembangunan infrastruktur di Indonesia penunjang pertumbuhan ekonomi.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Simposium I Jaringan Perguruan Tinggi untuk Pembangunan Infrastruktur Indonesia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Ramli, N. A., Latan, H., &amp; Solovida, G. T. (2018). Determinants of capital structure and firm financial performance – a PLS-SEM approach: evidence from Malaysia and Indonesia.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Quarterly Review of Economics and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Rapp, M. S., Schmid, T. &amp; Urban, D. (2014). The value of financial flexibility and corporate financial policy.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Journal of Corporate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29, 288–302.</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Sansoethan, D. K. &amp; Suryono, B. (2016). Faktor-faktor yang mempengaruhi struktur modal pada perusahaan makanan dan minuman.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Ilmu dan Riset Akuntansi</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5(1), 1-19.</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Selfiana, Kiki &amp; Fidiana. (2016). </w:t>
      </w:r>
      <w:hyperlink r:id="rId8">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Pengaruh growth opportunity, profitabilitas dan struktur aset terhadap struktur modal</w:t>
        </w:r>
      </w:hyperlink>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highlight w:val="white"/>
          <w:u w:val="none"/>
          <w:vertAlign w:val="baseline"/>
          <w:rtl w:val="0"/>
        </w:rPr>
        <w:t xml:space="preserve">Jurnal Ilmu dan Riset Akuntansi</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 5(9), 1-17</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Seppa, R. (2014). Implication of Inside-debt: Signalling for bankruptcy probabilities within small firms.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Baltic Journal of Management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9(2), 168-188.</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Siregar, E. (2008). Daya saing infrastruktur Indonesia melonjak naik. </w:t>
      </w:r>
      <w:hyperlink r:id="rId9">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https://www.liputan6.com/news/read/3301542/daya-saing-infrastruktur-indonesia-melonjak-naik</w:t>
        </w:r>
      </w:hyperlink>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Diakses pada tanggal 20 Agustus 2018.</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Stretcher, R. &amp; Johnson, S. (2011). Capital structure: professional management guidance.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Managerial Finance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37(8), 788-804.</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Susanti, Y., dan Agustin, S. (2015). Faktor-faktor yang mempengaruhi struktur modal perusahaan food and beverages.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Ilmu dan Riset Manajemen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4(4).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Wang, Z. &amp; Zhu, W. (2013). Equity financing constraints and corporate capital structure: a model.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China Finance Review International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3(4), 322-339.</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Wibowo, A. (2006). Mengukur risiko dan atraktivitas investasi infrastruktur di Indonesia.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Jurnal Teknik Sipil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13(3), 123-132.</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Yudhiarti, R. &amp; Mahfud, M. K. (2016). Analisis faktor-faktor yang mempengaruhi struktur modal (pada perusahaan manufaktur yang terdaftar di Bursa Efek Indonesia periode tahun 2010-2014).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Diponegoro Journal of Management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5(3), 1-13.</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headerReference r:id="rId12" w:type="even"/>
      <w:pgSz w:h="16838" w:w="11906" w:orient="portrait"/>
      <w:pgMar w:bottom="1134" w:top="1418" w:left="1418"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ish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left"/>
      <w:rPr>
        <w:rFonts w:ascii="Gisha" w:cs="Gisha" w:eastAsia="Gisha" w:hAnsi="Gisha"/>
        <w:b w:val="0"/>
        <w:i w:val="0"/>
        <w:smallCaps w:val="0"/>
        <w:strike w:val="0"/>
        <w:color w:val="4472c4"/>
        <w:sz w:val="20"/>
        <w:szCs w:val="20"/>
        <w:u w:val="none"/>
        <w:shd w:fill="auto" w:val="clear"/>
        <w:vertAlign w:val="baseline"/>
      </w:rPr>
    </w:pPr>
    <w:r w:rsidDel="00000000" w:rsidR="00000000" w:rsidRPr="00000000">
      <w:rPr>
        <w:rFonts w:ascii="Gisha" w:cs="Gisha" w:eastAsia="Gisha" w:hAnsi="Gish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Gisha" w:cs="Gisha" w:eastAsia="Gisha" w:hAnsi="Gisha"/>
        <w:b w:val="0"/>
        <w:i w:val="0"/>
        <w:smallCaps w:val="0"/>
        <w:strike w:val="0"/>
        <w:color w:val="000000"/>
        <w:sz w:val="20"/>
        <w:szCs w:val="20"/>
        <w:u w:val="none"/>
        <w:shd w:fill="auto" w:val="clear"/>
        <w:vertAlign w:val="baseline"/>
        <w:rtl w:val="0"/>
      </w:rPr>
      <w:tab/>
    </w:r>
    <w:r w:rsidDel="00000000" w:rsidR="00000000" w:rsidRPr="00000000">
      <w:rPr>
        <w:rFonts w:ascii="Gisha" w:cs="Gisha" w:eastAsia="Gisha" w:hAnsi="Gisha"/>
        <w:b w:val="1"/>
        <w:i w:val="0"/>
        <w:smallCaps w:val="0"/>
        <w:strike w:val="0"/>
        <w:color w:val="4472c4"/>
        <w:sz w:val="20"/>
        <w:szCs w:val="20"/>
        <w:u w:val="none"/>
        <w:shd w:fill="auto" w:val="clear"/>
        <w:vertAlign w:val="baseline"/>
        <w:rtl w:val="0"/>
      </w:rPr>
      <w:t xml:space="preserve">Proceeding of </w:t>
    </w:r>
    <w:r w:rsidDel="00000000" w:rsidR="00000000" w:rsidRPr="00000000">
      <w:rPr>
        <w:rFonts w:ascii="Gisha" w:cs="Gisha" w:eastAsia="Gisha" w:hAnsi="Gisha"/>
        <w:b w:val="1"/>
        <w:color w:val="4472c4"/>
        <w:sz w:val="20"/>
        <w:szCs w:val="20"/>
        <w:rtl w:val="0"/>
      </w:rPr>
      <w:t xml:space="preserve">4th</w:t>
    </w:r>
    <w:r w:rsidDel="00000000" w:rsidR="00000000" w:rsidRPr="00000000">
      <w:rPr>
        <w:rFonts w:ascii="Gisha" w:cs="Gisha" w:eastAsia="Gisha" w:hAnsi="Gisha"/>
        <w:b w:val="1"/>
        <w:i w:val="0"/>
        <w:smallCaps w:val="0"/>
        <w:strike w:val="0"/>
        <w:color w:val="4472c4"/>
        <w:sz w:val="20"/>
        <w:szCs w:val="20"/>
        <w:u w:val="none"/>
        <w:shd w:fill="auto" w:val="clear"/>
        <w:vertAlign w:val="baseline"/>
        <w:rtl w:val="0"/>
      </w:rPr>
      <w:t xml:space="preserve"> </w:t>
    </w:r>
    <w:r w:rsidDel="00000000" w:rsidR="00000000" w:rsidRPr="00000000">
      <w:rPr>
        <w:rFonts w:ascii="Gisha" w:cs="Gisha" w:eastAsia="Gisha" w:hAnsi="Gisha"/>
        <w:b w:val="1"/>
        <w:color w:val="4472c4"/>
        <w:sz w:val="20"/>
        <w:szCs w:val="20"/>
        <w:rtl w:val="0"/>
      </w:rPr>
      <w:t xml:space="preserve">International</w:t>
    </w:r>
    <w:r w:rsidDel="00000000" w:rsidR="00000000" w:rsidRPr="00000000">
      <w:rPr>
        <w:rFonts w:ascii="Gisha" w:cs="Gisha" w:eastAsia="Gisha" w:hAnsi="Gisha"/>
        <w:b w:val="1"/>
        <w:i w:val="0"/>
        <w:smallCaps w:val="0"/>
        <w:strike w:val="0"/>
        <w:color w:val="4472c4"/>
        <w:sz w:val="20"/>
        <w:szCs w:val="20"/>
        <w:u w:val="none"/>
        <w:shd w:fill="auto" w:val="clear"/>
        <w:vertAlign w:val="baseline"/>
        <w:rtl w:val="0"/>
      </w:rPr>
      <w:t xml:space="preserve"> Conference on Accounting &amp; Finance, 2024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both"/>
      <w:rPr>
        <w:rFonts w:ascii="Gisha" w:cs="Gisha" w:eastAsia="Gisha" w:hAnsi="Gisha"/>
        <w:b w:val="0"/>
        <w:i w:val="0"/>
        <w:smallCaps w:val="0"/>
        <w:strike w:val="0"/>
        <w:color w:val="000000"/>
        <w:sz w:val="20"/>
        <w:szCs w:val="20"/>
        <w:u w:val="none"/>
        <w:shd w:fill="auto" w:val="clear"/>
        <w:vertAlign w:val="baseline"/>
      </w:rPr>
    </w:pPr>
    <w:r w:rsidDel="00000000" w:rsidR="00000000" w:rsidRPr="00000000">
      <w:rPr>
        <w:rFonts w:ascii="Gisha" w:cs="Gisha" w:eastAsia="Gisha" w:hAnsi="Gisha"/>
        <w:b w:val="0"/>
        <w:i w:val="0"/>
        <w:smallCaps w:val="0"/>
        <w:strike w:val="0"/>
        <w:color w:val="000000"/>
        <w:sz w:val="20"/>
        <w:szCs w:val="20"/>
        <w:u w:val="none"/>
        <w:shd w:fill="auto" w:val="clear"/>
        <w:vertAlign w:val="baseline"/>
        <w:rtl w:val="0"/>
      </w:rPr>
      <w:t xml:space="preserve">Lorem ipsum dolor sit amet, consectetur adipiscing elit…</w:t>
      <w:tab/>
    </w:r>
    <w:r w:rsidDel="00000000" w:rsidR="00000000" w:rsidRPr="00000000">
      <w:rPr>
        <w:rFonts w:ascii="Gisha" w:cs="Gisha" w:eastAsia="Gisha" w:hAnsi="Gish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-85724</wp:posOffset>
          </wp:positionV>
          <wp:extent cx="3403071" cy="449898"/>
          <wp:effectExtent b="0" l="0" r="0" t="0"/>
          <wp:wrapNone/>
          <wp:docPr id="138423988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03071" cy="449898"/>
                  </a:xfrm>
                  <a:prstGeom prst="rect"/>
                  <a:ln/>
                </pic:spPr>
              </pic:pic>
            </a:graphicData>
          </a:graphic>
        </wp:anchor>
      </w:drawing>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2979"/>
    <w:pPr>
      <w:spacing w:after="160" w:line="259"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2B1908"/>
    <w:rPr>
      <w:color w:val="0563c1"/>
      <w:u w:val="single"/>
    </w:rPr>
  </w:style>
  <w:style w:type="paragraph" w:styleId="ListParagraph">
    <w:name w:val="List Paragraph"/>
    <w:basedOn w:val="Normal"/>
    <w:uiPriority w:val="34"/>
    <w:qFormat w:val="1"/>
    <w:rsid w:val="00BC1696"/>
    <w:pPr>
      <w:ind w:left="720"/>
    </w:pPr>
  </w:style>
  <w:style w:type="paragraph" w:styleId="NoSpacing">
    <w:name w:val="No Spacing"/>
    <w:uiPriority w:val="1"/>
    <w:qFormat w:val="1"/>
    <w:rsid w:val="008E4EAE"/>
    <w:rPr>
      <w:sz w:val="22"/>
      <w:szCs w:val="22"/>
    </w:rPr>
  </w:style>
  <w:style w:type="character" w:styleId="CommentReference">
    <w:name w:val="annotation reference"/>
    <w:uiPriority w:val="99"/>
    <w:semiHidden w:val="1"/>
    <w:unhideWhenUsed w:val="1"/>
    <w:rsid w:val="00DC27FA"/>
    <w:rPr>
      <w:sz w:val="16"/>
      <w:szCs w:val="16"/>
    </w:rPr>
  </w:style>
  <w:style w:type="paragraph" w:styleId="CommentText">
    <w:name w:val="annotation text"/>
    <w:basedOn w:val="Normal"/>
    <w:link w:val="CommentTextChar"/>
    <w:uiPriority w:val="99"/>
    <w:semiHidden w:val="1"/>
    <w:unhideWhenUsed w:val="1"/>
    <w:rsid w:val="00DC27FA"/>
    <w:rPr>
      <w:sz w:val="20"/>
      <w:szCs w:val="20"/>
    </w:rPr>
  </w:style>
  <w:style w:type="character" w:styleId="CommentTextChar" w:customStyle="1">
    <w:name w:val="Comment Text Char"/>
    <w:link w:val="CommentText"/>
    <w:uiPriority w:val="99"/>
    <w:semiHidden w:val="1"/>
    <w:rsid w:val="00DC27FA"/>
    <w:rPr>
      <w:lang w:eastAsia="en-US" w:val="en-US"/>
    </w:rPr>
  </w:style>
  <w:style w:type="paragraph" w:styleId="CommentSubject">
    <w:name w:val="annotation subject"/>
    <w:basedOn w:val="CommentText"/>
    <w:next w:val="CommentText"/>
    <w:link w:val="CommentSubjectChar"/>
    <w:uiPriority w:val="99"/>
    <w:semiHidden w:val="1"/>
    <w:unhideWhenUsed w:val="1"/>
    <w:rsid w:val="00DC27FA"/>
    <w:rPr>
      <w:b w:val="1"/>
      <w:bCs w:val="1"/>
    </w:rPr>
  </w:style>
  <w:style w:type="character" w:styleId="CommentSubjectChar" w:customStyle="1">
    <w:name w:val="Comment Subject Char"/>
    <w:link w:val="CommentSubject"/>
    <w:uiPriority w:val="99"/>
    <w:semiHidden w:val="1"/>
    <w:rsid w:val="00DC27FA"/>
    <w:rPr>
      <w:b w:val="1"/>
      <w:bCs w:val="1"/>
      <w:lang w:eastAsia="en-US" w:val="en-US"/>
    </w:rPr>
  </w:style>
  <w:style w:type="paragraph" w:styleId="BalloonText">
    <w:name w:val="Balloon Text"/>
    <w:basedOn w:val="Normal"/>
    <w:link w:val="BalloonTextChar"/>
    <w:uiPriority w:val="99"/>
    <w:semiHidden w:val="1"/>
    <w:unhideWhenUsed w:val="1"/>
    <w:rsid w:val="00DC27FA"/>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DC27FA"/>
    <w:rPr>
      <w:rFonts w:ascii="Segoe UI" w:cs="Segoe UI" w:hAnsi="Segoe UI"/>
      <w:sz w:val="18"/>
      <w:szCs w:val="18"/>
      <w:lang w:eastAsia="en-US" w:val="en-US"/>
    </w:rPr>
  </w:style>
  <w:style w:type="paragraph" w:styleId="Header">
    <w:name w:val="header"/>
    <w:basedOn w:val="Normal"/>
    <w:link w:val="HeaderChar"/>
    <w:uiPriority w:val="99"/>
    <w:unhideWhenUsed w:val="1"/>
    <w:rsid w:val="00EE6693"/>
    <w:pPr>
      <w:tabs>
        <w:tab w:val="center" w:pos="4680"/>
        <w:tab w:val="right" w:pos="9360"/>
      </w:tabs>
    </w:pPr>
  </w:style>
  <w:style w:type="character" w:styleId="HeaderChar" w:customStyle="1">
    <w:name w:val="Header Char"/>
    <w:link w:val="Header"/>
    <w:uiPriority w:val="99"/>
    <w:rsid w:val="00EE6693"/>
    <w:rPr>
      <w:sz w:val="22"/>
      <w:szCs w:val="22"/>
      <w:lang w:eastAsia="en-US" w:val="en-US"/>
    </w:rPr>
  </w:style>
  <w:style w:type="paragraph" w:styleId="Footer">
    <w:name w:val="footer"/>
    <w:basedOn w:val="Normal"/>
    <w:link w:val="FooterChar"/>
    <w:uiPriority w:val="99"/>
    <w:unhideWhenUsed w:val="1"/>
    <w:rsid w:val="00EE6693"/>
    <w:pPr>
      <w:tabs>
        <w:tab w:val="center" w:pos="4680"/>
        <w:tab w:val="right" w:pos="9360"/>
      </w:tabs>
    </w:pPr>
  </w:style>
  <w:style w:type="character" w:styleId="FooterChar" w:customStyle="1">
    <w:name w:val="Footer Char"/>
    <w:link w:val="Footer"/>
    <w:uiPriority w:val="99"/>
    <w:rsid w:val="00EE6693"/>
    <w:rPr>
      <w:sz w:val="22"/>
      <w:szCs w:val="22"/>
      <w:lang w:eastAsia="en-US" w:val="en-US"/>
    </w:rPr>
  </w:style>
  <w:style w:type="table" w:styleId="3" w:customStyle="1">
    <w:name w:val="3"/>
    <w:basedOn w:val="TableNormal"/>
    <w:rsid w:val="00232EE4"/>
    <w:rPr>
      <w:rFonts w:cs="Calibri"/>
      <w:sz w:val="22"/>
      <w:szCs w:val="22"/>
      <w:lang w:eastAsia="en-ID"/>
    </w:rPr>
    <w:tblPr>
      <w:tblStyleRowBandSize w:val="1"/>
      <w:tblStyleColBandSize w:val="1"/>
      <w:tblCellMar>
        <w:left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12" Type="http://schemas.openxmlformats.org/officeDocument/2006/relationships/header" Target="header1.xml"/><Relationship Id="rId9" Type="http://schemas.openxmlformats.org/officeDocument/2006/relationships/hyperlink" Target="https://www.liputan6.com/news/read/3301542/daya-saing-infrastruktur-indonesia-melonjak-nai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jNztexzesWPHJR3ftcyfYjdg==">CgMxLjA4AHIhMUhXbGdaSkQwQW5ROHdWN1ZKa3YxU2pKdTVlWEEyaTJa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2024-09-26T07:11:00Z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7c27641e4911e4c6a2b6cb67729e380a9fd1554327a230908d0cad9a1b222971</vt:lpwstr>
  </property>
</Properties>
</file>