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1C43" w14:textId="14E20AF5" w:rsidR="008A702A" w:rsidRDefault="00000000" w:rsidP="00C749FA">
      <w:pPr>
        <w:pStyle w:val="HRETitle"/>
      </w:pPr>
      <w:r>
        <w:t>AML Program Strengthening Toolkit</w:t>
      </w:r>
    </w:p>
    <w:p w14:paraId="0D11E65F" w14:textId="77777777" w:rsidR="008A702A" w:rsidRDefault="00000000">
      <w:pPr>
        <w:pStyle w:val="HREH1"/>
      </w:pPr>
      <w:r>
        <w:t>Toolkit Overview &amp; How to Use This Guide</w:t>
      </w:r>
    </w:p>
    <w:p w14:paraId="02BF8E8D" w14:textId="77777777" w:rsidR="008A702A" w:rsidRDefault="00000000">
      <w:pPr>
        <w:pStyle w:val="HREBody"/>
      </w:pPr>
      <w:r>
        <w:t>This toolkit helps fintech teams strengthen an AML program in a way that is practical, defensible, and aligned to partner-bank and regulator expectations. It is written for teams that may have limited experience building AML programs, or teams that have a program in place but need to tighten execution, documentation, and oversight.</w:t>
      </w:r>
    </w:p>
    <w:p w14:paraId="09CC6801" w14:textId="77777777" w:rsidR="008A702A" w:rsidRDefault="00000000">
      <w:pPr>
        <w:pStyle w:val="HREBody"/>
      </w:pPr>
      <w:r>
        <w:t>Use this toolkit as a working playbook—assign owners, set dates, and save evidence as you go. The goal is not perfection on day one; it’s to build a repeatable program that can stand up to questions during a sponsor-bank review, audit, or examination.</w:t>
      </w:r>
    </w:p>
    <w:p w14:paraId="01BEAB5D" w14:textId="77777777" w:rsidR="008A702A" w:rsidRDefault="00000000">
      <w:pPr>
        <w:pStyle w:val="HREH2"/>
      </w:pPr>
      <w:r>
        <w:t>What this toolkit will help you do</w:t>
      </w:r>
    </w:p>
    <w:p w14:paraId="0AC0AD5A" w14:textId="77777777" w:rsidR="008A702A" w:rsidRDefault="00000000">
      <w:pPr>
        <w:pStyle w:val="ListBullet"/>
        <w:spacing w:after="40"/>
      </w:pPr>
      <w:r>
        <w:t>Confirm your AML scope based on products, customer types, geographies, and delivery channels.</w:t>
      </w:r>
    </w:p>
    <w:p w14:paraId="1CC6FE1D" w14:textId="77777777" w:rsidR="008A702A" w:rsidRDefault="00000000">
      <w:pPr>
        <w:pStyle w:val="ListBullet"/>
        <w:spacing w:after="40"/>
      </w:pPr>
      <w:r>
        <w:t>Identify the highest-risk failure points in your onboarding, monitoring, investigations, and reporting flow.</w:t>
      </w:r>
    </w:p>
    <w:p w14:paraId="190F6CBF" w14:textId="77777777" w:rsidR="008A702A" w:rsidRDefault="00000000">
      <w:pPr>
        <w:pStyle w:val="ListBullet"/>
        <w:spacing w:after="40"/>
      </w:pPr>
      <w:r>
        <w:t>Strengthen controls and documentation so decisions are explainable and repeatable across the team.</w:t>
      </w:r>
    </w:p>
    <w:p w14:paraId="7FCB88A4" w14:textId="77777777" w:rsidR="008A702A" w:rsidRDefault="00000000">
      <w:pPr>
        <w:pStyle w:val="ListBullet"/>
        <w:spacing w:after="40"/>
      </w:pPr>
      <w:r>
        <w:t>Set clear governance: ownership, escalation, reporting, and management oversight.</w:t>
      </w:r>
    </w:p>
    <w:p w14:paraId="3E45F0B1" w14:textId="77777777" w:rsidR="008A702A" w:rsidRDefault="00000000">
      <w:pPr>
        <w:pStyle w:val="ListBullet"/>
        <w:spacing w:after="40"/>
      </w:pPr>
      <w:r>
        <w:t>Build a simple testing and quality process that catches issues before partners or regulators do.</w:t>
      </w:r>
    </w:p>
    <w:p w14:paraId="1C2F8C8C" w14:textId="77777777" w:rsidR="008A702A" w:rsidRDefault="00000000">
      <w:pPr>
        <w:pStyle w:val="HREH2"/>
      </w:pPr>
      <w:r>
        <w:t>How to use this toolkit (recommended order)</w:t>
      </w:r>
    </w:p>
    <w:p w14:paraId="672F8CF5" w14:textId="77777777" w:rsidR="008A702A" w:rsidRDefault="00000000">
      <w:pPr>
        <w:pStyle w:val="ListNumber"/>
        <w:spacing w:after="40"/>
      </w:pPr>
      <w:r>
        <w:t>Step 1: Baseline your AML scope and risk profile using the Program Snapshot and Risk Inventory.</w:t>
      </w:r>
    </w:p>
    <w:p w14:paraId="263F7264" w14:textId="77777777" w:rsidR="008A702A" w:rsidRDefault="00000000">
      <w:pPr>
        <w:pStyle w:val="ListNumber"/>
        <w:spacing w:after="40"/>
      </w:pPr>
      <w:r>
        <w:t>Step 2: Map your end-to-end AML workflow (CDD → monitoring → investigations → SAR decisioning).</w:t>
      </w:r>
    </w:p>
    <w:p w14:paraId="6B142291" w14:textId="77777777" w:rsidR="008A702A" w:rsidRDefault="00000000">
      <w:pPr>
        <w:pStyle w:val="ListNumber"/>
        <w:spacing w:after="40"/>
      </w:pPr>
      <w:r>
        <w:t>Step 3: Strengthen key controls (CDD standards, monitoring governance, SAR decisioning governance).</w:t>
      </w:r>
    </w:p>
    <w:p w14:paraId="7E7F1660" w14:textId="77777777" w:rsidR="008A702A" w:rsidRDefault="00000000">
      <w:pPr>
        <w:pStyle w:val="ListNumber"/>
        <w:spacing w:after="40"/>
      </w:pPr>
      <w:r>
        <w:t>Step 4: Implement oversight: metrics, escalation paths, and leadership reporting.</w:t>
      </w:r>
    </w:p>
    <w:p w14:paraId="6C8A4AE5" w14:textId="77777777" w:rsidR="008A702A" w:rsidRDefault="00000000">
      <w:pPr>
        <w:pStyle w:val="ListNumber"/>
        <w:spacing w:after="40"/>
      </w:pPr>
      <w:r>
        <w:t>Step 5: Add quality assurance and independent testing preparation.</w:t>
      </w:r>
    </w:p>
    <w:p w14:paraId="1068344C" w14:textId="77777777" w:rsidR="008A702A" w:rsidRDefault="00000000">
      <w:pPr>
        <w:pStyle w:val="ListNumber"/>
        <w:spacing w:after="40"/>
      </w:pPr>
      <w:r>
        <w:t>Step 6: Execute the 30-day action plan and track evidence in the documentation checklist.</w:t>
      </w:r>
    </w:p>
    <w:p w14:paraId="2B8C14CC" w14:textId="77777777" w:rsidR="00FC32E8" w:rsidRDefault="00FC32E8">
      <w:pPr>
        <w:pStyle w:val="HREH1"/>
      </w:pPr>
    </w:p>
    <w:p w14:paraId="705A1452" w14:textId="77777777" w:rsidR="00FC32E8" w:rsidRDefault="00FC32E8">
      <w:pPr>
        <w:pStyle w:val="HREH1"/>
      </w:pPr>
    </w:p>
    <w:p w14:paraId="08AAF9E4" w14:textId="38069A4C" w:rsidR="008A702A" w:rsidRDefault="00000000">
      <w:pPr>
        <w:pStyle w:val="HREH1"/>
      </w:pPr>
      <w:r>
        <w:lastRenderedPageBreak/>
        <w:t>Step 1 — Program Snapshot &amp; Risk Inventory</w:t>
      </w:r>
    </w:p>
    <w:p w14:paraId="22414EBC" w14:textId="77777777" w:rsidR="008A702A" w:rsidRDefault="00000000">
      <w:pPr>
        <w:pStyle w:val="HREBody"/>
      </w:pPr>
      <w:r>
        <w:t>Start by documenting what your AML program covers today. This becomes your baseline reference during reviews. If you cannot explain your scope in one page, your program is likely too informal or too fragmented.</w:t>
      </w:r>
    </w:p>
    <w:p w14:paraId="3E7650E6" w14:textId="77777777" w:rsidR="008A702A" w:rsidRDefault="00000000">
      <w:pPr>
        <w:pStyle w:val="HREH2"/>
      </w:pPr>
      <w:r>
        <w:t>1A. Program Snapshot (complete in one sitting)</w:t>
      </w:r>
    </w:p>
    <w:tbl>
      <w:tblPr>
        <w:tblStyle w:val="TableGrid"/>
        <w:tblW w:w="0" w:type="auto"/>
        <w:tblLook w:val="04A0" w:firstRow="1" w:lastRow="0" w:firstColumn="1" w:lastColumn="0" w:noHBand="0" w:noVBand="1"/>
      </w:tblPr>
      <w:tblGrid>
        <w:gridCol w:w="3620"/>
        <w:gridCol w:w="5236"/>
      </w:tblGrid>
      <w:tr w:rsidR="008A702A" w14:paraId="2C9A61DF" w14:textId="77777777">
        <w:tc>
          <w:tcPr>
            <w:tcW w:w="3744" w:type="dxa"/>
          </w:tcPr>
          <w:p w14:paraId="5C0A4FC9" w14:textId="77777777" w:rsidR="008A702A" w:rsidRDefault="00000000">
            <w:r>
              <w:t>Item</w:t>
            </w:r>
          </w:p>
        </w:tc>
        <w:tc>
          <w:tcPr>
            <w:tcW w:w="6624" w:type="dxa"/>
          </w:tcPr>
          <w:p w14:paraId="12A3AFC2" w14:textId="77777777" w:rsidR="008A702A" w:rsidRDefault="00000000">
            <w:r>
              <w:t>Your Answer (fill in)</w:t>
            </w:r>
          </w:p>
        </w:tc>
      </w:tr>
      <w:tr w:rsidR="008A702A" w14:paraId="1444E07F" w14:textId="77777777">
        <w:tc>
          <w:tcPr>
            <w:tcW w:w="3744" w:type="dxa"/>
          </w:tcPr>
          <w:p w14:paraId="39A96AEC" w14:textId="77777777" w:rsidR="008A702A" w:rsidRDefault="00000000">
            <w:r>
              <w:t>Primary products / services</w:t>
            </w:r>
          </w:p>
        </w:tc>
        <w:tc>
          <w:tcPr>
            <w:tcW w:w="6624" w:type="dxa"/>
          </w:tcPr>
          <w:p w14:paraId="3377C171" w14:textId="77777777" w:rsidR="008A702A" w:rsidRDefault="008A702A"/>
        </w:tc>
      </w:tr>
      <w:tr w:rsidR="008A702A" w14:paraId="4C954A74" w14:textId="77777777">
        <w:tc>
          <w:tcPr>
            <w:tcW w:w="3744" w:type="dxa"/>
          </w:tcPr>
          <w:p w14:paraId="316536D0" w14:textId="77777777" w:rsidR="008A702A" w:rsidRDefault="00000000">
            <w:r>
              <w:t>Customer types (B2C/B2B/MSB/merchant/etc.)</w:t>
            </w:r>
          </w:p>
        </w:tc>
        <w:tc>
          <w:tcPr>
            <w:tcW w:w="6624" w:type="dxa"/>
          </w:tcPr>
          <w:p w14:paraId="12F498C4" w14:textId="77777777" w:rsidR="008A702A" w:rsidRDefault="008A702A"/>
        </w:tc>
      </w:tr>
      <w:tr w:rsidR="008A702A" w14:paraId="22F4B064" w14:textId="77777777">
        <w:tc>
          <w:tcPr>
            <w:tcW w:w="3744" w:type="dxa"/>
          </w:tcPr>
          <w:p w14:paraId="16562746" w14:textId="77777777" w:rsidR="008A702A" w:rsidRDefault="00000000">
            <w:r>
              <w:t>Geographies served &amp; cross-border exposure</w:t>
            </w:r>
          </w:p>
        </w:tc>
        <w:tc>
          <w:tcPr>
            <w:tcW w:w="6624" w:type="dxa"/>
          </w:tcPr>
          <w:p w14:paraId="022D67D3" w14:textId="77777777" w:rsidR="008A702A" w:rsidRDefault="008A702A"/>
        </w:tc>
      </w:tr>
      <w:tr w:rsidR="008A702A" w14:paraId="79AEEB11" w14:textId="77777777">
        <w:tc>
          <w:tcPr>
            <w:tcW w:w="3744" w:type="dxa"/>
          </w:tcPr>
          <w:p w14:paraId="201FC2A6" w14:textId="77777777" w:rsidR="008A702A" w:rsidRDefault="00000000">
            <w:r>
              <w:t>Use of sponsor bank / BaaS model</w:t>
            </w:r>
          </w:p>
        </w:tc>
        <w:tc>
          <w:tcPr>
            <w:tcW w:w="6624" w:type="dxa"/>
          </w:tcPr>
          <w:p w14:paraId="7D7B2E5F" w14:textId="77777777" w:rsidR="008A702A" w:rsidRDefault="008A702A"/>
        </w:tc>
      </w:tr>
      <w:tr w:rsidR="008A702A" w14:paraId="22ED4641" w14:textId="77777777">
        <w:tc>
          <w:tcPr>
            <w:tcW w:w="3744" w:type="dxa"/>
          </w:tcPr>
          <w:p w14:paraId="467CF56B" w14:textId="77777777" w:rsidR="008A702A" w:rsidRDefault="00000000">
            <w:r>
              <w:t>Core vendors (KYC, screening, monitoring, case mgmt)</w:t>
            </w:r>
          </w:p>
        </w:tc>
        <w:tc>
          <w:tcPr>
            <w:tcW w:w="6624" w:type="dxa"/>
          </w:tcPr>
          <w:p w14:paraId="42DFE8A8" w14:textId="77777777" w:rsidR="008A702A" w:rsidRDefault="008A702A"/>
        </w:tc>
      </w:tr>
      <w:tr w:rsidR="008A702A" w14:paraId="64F2F6A3" w14:textId="77777777">
        <w:tc>
          <w:tcPr>
            <w:tcW w:w="3744" w:type="dxa"/>
          </w:tcPr>
          <w:p w14:paraId="03AD018F" w14:textId="77777777" w:rsidR="008A702A" w:rsidRDefault="00000000">
            <w:r>
              <w:t>Who owns AML day-to-day (role/title)</w:t>
            </w:r>
          </w:p>
        </w:tc>
        <w:tc>
          <w:tcPr>
            <w:tcW w:w="6624" w:type="dxa"/>
          </w:tcPr>
          <w:p w14:paraId="1F218B8A" w14:textId="77777777" w:rsidR="008A702A" w:rsidRDefault="008A702A"/>
        </w:tc>
      </w:tr>
      <w:tr w:rsidR="008A702A" w14:paraId="489D9A43" w14:textId="77777777">
        <w:tc>
          <w:tcPr>
            <w:tcW w:w="3744" w:type="dxa"/>
          </w:tcPr>
          <w:p w14:paraId="57ECAC52" w14:textId="77777777" w:rsidR="008A702A" w:rsidRDefault="00000000">
            <w:r>
              <w:t>Who approves AML decisions (role/title)</w:t>
            </w:r>
          </w:p>
        </w:tc>
        <w:tc>
          <w:tcPr>
            <w:tcW w:w="6624" w:type="dxa"/>
          </w:tcPr>
          <w:p w14:paraId="2D9BAF37" w14:textId="77777777" w:rsidR="008A702A" w:rsidRDefault="008A702A"/>
        </w:tc>
      </w:tr>
    </w:tbl>
    <w:p w14:paraId="6133C88A" w14:textId="77777777" w:rsidR="008A702A" w:rsidRDefault="008A702A">
      <w:pPr>
        <w:pStyle w:val="HREBody"/>
      </w:pPr>
    </w:p>
    <w:p w14:paraId="1AA14BEC" w14:textId="77777777" w:rsidR="008A702A" w:rsidRDefault="00000000">
      <w:pPr>
        <w:pStyle w:val="HREH2"/>
      </w:pPr>
      <w:r>
        <w:t>1B. AML Risk Inventory (high-level)</w:t>
      </w:r>
    </w:p>
    <w:p w14:paraId="38EA64E4" w14:textId="77777777" w:rsidR="008A702A" w:rsidRDefault="00000000">
      <w:pPr>
        <w:pStyle w:val="HREBody"/>
      </w:pPr>
      <w:r>
        <w:t>List the main risk drivers for your model. Keep it simple—this is an inventory, not a full risk assessment.</w:t>
      </w:r>
    </w:p>
    <w:tbl>
      <w:tblPr>
        <w:tblStyle w:val="TableGrid"/>
        <w:tblW w:w="0" w:type="auto"/>
        <w:tblLook w:val="04A0" w:firstRow="1" w:lastRow="0" w:firstColumn="1" w:lastColumn="0" w:noHBand="0" w:noVBand="1"/>
      </w:tblPr>
      <w:tblGrid>
        <w:gridCol w:w="1788"/>
        <w:gridCol w:w="3189"/>
        <w:gridCol w:w="1529"/>
        <w:gridCol w:w="2350"/>
      </w:tblGrid>
      <w:tr w:rsidR="008A702A" w14:paraId="6A24012C" w14:textId="77777777">
        <w:tc>
          <w:tcPr>
            <w:tcW w:w="2016" w:type="dxa"/>
          </w:tcPr>
          <w:p w14:paraId="132D5599" w14:textId="77777777" w:rsidR="008A702A" w:rsidRDefault="00000000">
            <w:r>
              <w:t>Risk Driver</w:t>
            </w:r>
          </w:p>
        </w:tc>
        <w:tc>
          <w:tcPr>
            <w:tcW w:w="3744" w:type="dxa"/>
          </w:tcPr>
          <w:p w14:paraId="4D398F18" w14:textId="77777777" w:rsidR="008A702A" w:rsidRDefault="00000000">
            <w:r>
              <w:t>Examples</w:t>
            </w:r>
          </w:p>
        </w:tc>
        <w:tc>
          <w:tcPr>
            <w:tcW w:w="1728" w:type="dxa"/>
          </w:tcPr>
          <w:p w14:paraId="3433749F" w14:textId="77777777" w:rsidR="008A702A" w:rsidRDefault="00000000">
            <w:r>
              <w:t>Inherent Risk (L/M/H)</w:t>
            </w:r>
          </w:p>
        </w:tc>
        <w:tc>
          <w:tcPr>
            <w:tcW w:w="2880" w:type="dxa"/>
          </w:tcPr>
          <w:p w14:paraId="350DB6A1" w14:textId="77777777" w:rsidR="008A702A" w:rsidRDefault="00000000">
            <w:r>
              <w:t>Notes / Evidence Location</w:t>
            </w:r>
          </w:p>
        </w:tc>
      </w:tr>
      <w:tr w:rsidR="008A702A" w14:paraId="1FBFB2F9" w14:textId="77777777">
        <w:tc>
          <w:tcPr>
            <w:tcW w:w="2016" w:type="dxa"/>
          </w:tcPr>
          <w:p w14:paraId="024DE827" w14:textId="77777777" w:rsidR="008A702A" w:rsidRDefault="00000000">
            <w:r>
              <w:t>Customer risk</w:t>
            </w:r>
          </w:p>
        </w:tc>
        <w:tc>
          <w:tcPr>
            <w:tcW w:w="3744" w:type="dxa"/>
          </w:tcPr>
          <w:p w14:paraId="01CFDA9E" w14:textId="77777777" w:rsidR="008A702A" w:rsidRDefault="00000000">
            <w:r>
              <w:t>High-risk industries, PEPs, cash intensity, complex ownership</w:t>
            </w:r>
          </w:p>
        </w:tc>
        <w:tc>
          <w:tcPr>
            <w:tcW w:w="1728" w:type="dxa"/>
          </w:tcPr>
          <w:p w14:paraId="1E028697" w14:textId="77777777" w:rsidR="008A702A" w:rsidRDefault="008A702A"/>
        </w:tc>
        <w:tc>
          <w:tcPr>
            <w:tcW w:w="2880" w:type="dxa"/>
          </w:tcPr>
          <w:p w14:paraId="61F21941" w14:textId="77777777" w:rsidR="008A702A" w:rsidRDefault="008A702A"/>
        </w:tc>
      </w:tr>
      <w:tr w:rsidR="008A702A" w14:paraId="4A0C8941" w14:textId="77777777">
        <w:tc>
          <w:tcPr>
            <w:tcW w:w="2016" w:type="dxa"/>
          </w:tcPr>
          <w:p w14:paraId="1841C490" w14:textId="77777777" w:rsidR="008A702A" w:rsidRDefault="00000000">
            <w:r>
              <w:t>Product risk</w:t>
            </w:r>
          </w:p>
        </w:tc>
        <w:tc>
          <w:tcPr>
            <w:tcW w:w="3744" w:type="dxa"/>
          </w:tcPr>
          <w:p w14:paraId="2E1E9471" w14:textId="77777777" w:rsidR="008A702A" w:rsidRDefault="00000000">
            <w:r>
              <w:t>Instant payouts, crypto rails, cross-border transfers, lending</w:t>
            </w:r>
          </w:p>
        </w:tc>
        <w:tc>
          <w:tcPr>
            <w:tcW w:w="1728" w:type="dxa"/>
          </w:tcPr>
          <w:p w14:paraId="66317B81" w14:textId="77777777" w:rsidR="008A702A" w:rsidRDefault="008A702A"/>
        </w:tc>
        <w:tc>
          <w:tcPr>
            <w:tcW w:w="2880" w:type="dxa"/>
          </w:tcPr>
          <w:p w14:paraId="135BF682" w14:textId="77777777" w:rsidR="008A702A" w:rsidRDefault="008A702A"/>
        </w:tc>
      </w:tr>
      <w:tr w:rsidR="008A702A" w14:paraId="764C21B0" w14:textId="77777777">
        <w:tc>
          <w:tcPr>
            <w:tcW w:w="2016" w:type="dxa"/>
          </w:tcPr>
          <w:p w14:paraId="5DFA6D03" w14:textId="77777777" w:rsidR="008A702A" w:rsidRDefault="00000000">
            <w:r>
              <w:t>Geography risk</w:t>
            </w:r>
          </w:p>
        </w:tc>
        <w:tc>
          <w:tcPr>
            <w:tcW w:w="3744" w:type="dxa"/>
          </w:tcPr>
          <w:p w14:paraId="6B34E33B" w14:textId="77777777" w:rsidR="008A702A" w:rsidRDefault="00000000">
            <w:r>
              <w:t>Sanctioned/high-risk jurisdictions, corridors</w:t>
            </w:r>
          </w:p>
        </w:tc>
        <w:tc>
          <w:tcPr>
            <w:tcW w:w="1728" w:type="dxa"/>
          </w:tcPr>
          <w:p w14:paraId="66FE31C9" w14:textId="77777777" w:rsidR="008A702A" w:rsidRDefault="008A702A"/>
        </w:tc>
        <w:tc>
          <w:tcPr>
            <w:tcW w:w="2880" w:type="dxa"/>
          </w:tcPr>
          <w:p w14:paraId="40C8E6D4" w14:textId="77777777" w:rsidR="008A702A" w:rsidRDefault="008A702A"/>
        </w:tc>
      </w:tr>
      <w:tr w:rsidR="008A702A" w14:paraId="4A73AEF8" w14:textId="77777777">
        <w:tc>
          <w:tcPr>
            <w:tcW w:w="2016" w:type="dxa"/>
          </w:tcPr>
          <w:p w14:paraId="61B55280" w14:textId="77777777" w:rsidR="008A702A" w:rsidRDefault="00000000">
            <w:r>
              <w:t>Channel risk</w:t>
            </w:r>
          </w:p>
        </w:tc>
        <w:tc>
          <w:tcPr>
            <w:tcW w:w="3744" w:type="dxa"/>
          </w:tcPr>
          <w:p w14:paraId="042AD231" w14:textId="77777777" w:rsidR="008A702A" w:rsidRDefault="00000000">
            <w:r>
              <w:t>API onboarding, remote identity verification</w:t>
            </w:r>
          </w:p>
        </w:tc>
        <w:tc>
          <w:tcPr>
            <w:tcW w:w="1728" w:type="dxa"/>
          </w:tcPr>
          <w:p w14:paraId="79CE6588" w14:textId="77777777" w:rsidR="008A702A" w:rsidRDefault="008A702A"/>
        </w:tc>
        <w:tc>
          <w:tcPr>
            <w:tcW w:w="2880" w:type="dxa"/>
          </w:tcPr>
          <w:p w14:paraId="7E1A1A66" w14:textId="77777777" w:rsidR="008A702A" w:rsidRDefault="008A702A"/>
        </w:tc>
      </w:tr>
      <w:tr w:rsidR="008A702A" w14:paraId="75FEC3D1" w14:textId="77777777">
        <w:tc>
          <w:tcPr>
            <w:tcW w:w="2016" w:type="dxa"/>
          </w:tcPr>
          <w:p w14:paraId="530C39EF" w14:textId="77777777" w:rsidR="008A702A" w:rsidRDefault="00000000">
            <w:r>
              <w:t>Third-party risk</w:t>
            </w:r>
          </w:p>
        </w:tc>
        <w:tc>
          <w:tcPr>
            <w:tcW w:w="3744" w:type="dxa"/>
          </w:tcPr>
          <w:p w14:paraId="17175780" w14:textId="77777777" w:rsidR="008A702A" w:rsidRDefault="00000000">
            <w:r>
              <w:t>Reliance on vendors for critical AML controls</w:t>
            </w:r>
          </w:p>
        </w:tc>
        <w:tc>
          <w:tcPr>
            <w:tcW w:w="1728" w:type="dxa"/>
          </w:tcPr>
          <w:p w14:paraId="75847C86" w14:textId="77777777" w:rsidR="008A702A" w:rsidRDefault="008A702A"/>
        </w:tc>
        <w:tc>
          <w:tcPr>
            <w:tcW w:w="2880" w:type="dxa"/>
          </w:tcPr>
          <w:p w14:paraId="76AA1544" w14:textId="77777777" w:rsidR="008A702A" w:rsidRDefault="008A702A"/>
        </w:tc>
      </w:tr>
    </w:tbl>
    <w:p w14:paraId="49AB1B57" w14:textId="77777777" w:rsidR="008A702A" w:rsidRDefault="008A702A">
      <w:pPr>
        <w:pStyle w:val="HREBody"/>
      </w:pPr>
    </w:p>
    <w:p w14:paraId="57E6F8BF" w14:textId="77777777" w:rsidR="00FC32E8" w:rsidRDefault="00FC32E8">
      <w:pPr>
        <w:pStyle w:val="HREH1"/>
      </w:pPr>
    </w:p>
    <w:p w14:paraId="337BC502" w14:textId="77777777" w:rsidR="00FC32E8" w:rsidRDefault="00FC32E8">
      <w:pPr>
        <w:pStyle w:val="HREH1"/>
      </w:pPr>
    </w:p>
    <w:p w14:paraId="4444C088" w14:textId="52E19772" w:rsidR="008A702A" w:rsidRDefault="00000000">
      <w:pPr>
        <w:pStyle w:val="HREH1"/>
      </w:pPr>
      <w:r>
        <w:lastRenderedPageBreak/>
        <w:t>Step 2 — Map the AML Workflow (So Gaps Are Obvious)</w:t>
      </w:r>
    </w:p>
    <w:p w14:paraId="1C9AF8C6" w14:textId="77777777" w:rsidR="008A702A" w:rsidRDefault="00000000">
      <w:pPr>
        <w:pStyle w:val="HREBody"/>
      </w:pPr>
      <w:r>
        <w:t>Most AML failures happen in handoffs—between onboarding, monitoring, investigations, and reporting. Mapping the workflow makes ownership and evidence requirements clear.</w:t>
      </w:r>
    </w:p>
    <w:p w14:paraId="004695D5" w14:textId="77777777" w:rsidR="008A702A" w:rsidRDefault="00000000">
      <w:pPr>
        <w:pStyle w:val="HREH2"/>
      </w:pPr>
      <w:r>
        <w:t>2A. Workflow Map (use this checklist)</w:t>
      </w:r>
    </w:p>
    <w:p w14:paraId="2EEEADF3" w14:textId="77777777" w:rsidR="008A702A" w:rsidRDefault="00000000">
      <w:pPr>
        <w:pStyle w:val="ListBullet"/>
        <w:spacing w:after="40"/>
      </w:pPr>
      <w:r>
        <w:t>Customer onboarding: what data you collect, what you verify, and what triggers Enhanced Due Diligence (EDD).</w:t>
      </w:r>
    </w:p>
    <w:p w14:paraId="15940525" w14:textId="77777777" w:rsidR="008A702A" w:rsidRDefault="00000000">
      <w:pPr>
        <w:pStyle w:val="ListBullet"/>
        <w:spacing w:after="40"/>
      </w:pPr>
      <w:r>
        <w:t>Screening: how and when you screen customers, beneficial owners, and related parties.</w:t>
      </w:r>
    </w:p>
    <w:p w14:paraId="6A961157" w14:textId="77777777" w:rsidR="008A702A" w:rsidRDefault="00000000">
      <w:pPr>
        <w:pStyle w:val="ListBullet"/>
        <w:spacing w:after="40"/>
      </w:pPr>
      <w:r>
        <w:t>Ongoing monitoring: what events trigger reviews (thresholds, typologies, alerts, complaints).</w:t>
      </w:r>
    </w:p>
    <w:p w14:paraId="1A241997" w14:textId="77777777" w:rsidR="008A702A" w:rsidRDefault="00000000">
      <w:pPr>
        <w:pStyle w:val="ListBullet"/>
        <w:spacing w:after="40"/>
      </w:pPr>
      <w:r>
        <w:t>Investigations: who investigates, how you document decisions, and how you escalate.</w:t>
      </w:r>
    </w:p>
    <w:p w14:paraId="75F6674E" w14:textId="77777777" w:rsidR="008A702A" w:rsidRDefault="00000000">
      <w:pPr>
        <w:pStyle w:val="ListBullet"/>
        <w:spacing w:after="40"/>
      </w:pPr>
      <w:r>
        <w:t>SAR decisioning &amp; filing: who decides, how you document rationale, and how you ensure timeliness.</w:t>
      </w:r>
    </w:p>
    <w:p w14:paraId="08E6170C" w14:textId="77777777" w:rsidR="008A702A" w:rsidRDefault="00000000">
      <w:pPr>
        <w:pStyle w:val="HREH2"/>
      </w:pPr>
      <w:r>
        <w:t>2B. Ownership (RACI) — keep it simple</w:t>
      </w:r>
    </w:p>
    <w:tbl>
      <w:tblPr>
        <w:tblStyle w:val="TableGrid"/>
        <w:tblW w:w="0" w:type="auto"/>
        <w:tblLook w:val="04A0" w:firstRow="1" w:lastRow="0" w:firstColumn="1" w:lastColumn="0" w:noHBand="0" w:noVBand="1"/>
      </w:tblPr>
      <w:tblGrid>
        <w:gridCol w:w="2353"/>
        <w:gridCol w:w="1670"/>
        <w:gridCol w:w="1677"/>
        <w:gridCol w:w="1590"/>
        <w:gridCol w:w="1566"/>
      </w:tblGrid>
      <w:tr w:rsidR="008A702A" w14:paraId="3D7FB2C4" w14:textId="77777777">
        <w:tc>
          <w:tcPr>
            <w:tcW w:w="2880" w:type="dxa"/>
          </w:tcPr>
          <w:p w14:paraId="7E0ED6A3" w14:textId="77777777" w:rsidR="008A702A" w:rsidRDefault="00000000">
            <w:r>
              <w:t>Workflow Area</w:t>
            </w:r>
          </w:p>
        </w:tc>
        <w:tc>
          <w:tcPr>
            <w:tcW w:w="1872" w:type="dxa"/>
          </w:tcPr>
          <w:p w14:paraId="1A4D1CA9" w14:textId="77777777" w:rsidR="008A702A" w:rsidRDefault="00000000">
            <w:r>
              <w:t>Responsible</w:t>
            </w:r>
          </w:p>
        </w:tc>
        <w:tc>
          <w:tcPr>
            <w:tcW w:w="1872" w:type="dxa"/>
          </w:tcPr>
          <w:p w14:paraId="1B51332C" w14:textId="77777777" w:rsidR="008A702A" w:rsidRDefault="00000000">
            <w:r>
              <w:t>Accountable</w:t>
            </w:r>
          </w:p>
        </w:tc>
        <w:tc>
          <w:tcPr>
            <w:tcW w:w="1872" w:type="dxa"/>
          </w:tcPr>
          <w:p w14:paraId="1524E62B" w14:textId="77777777" w:rsidR="008A702A" w:rsidRDefault="00000000">
            <w:r>
              <w:t>Consulted</w:t>
            </w:r>
          </w:p>
        </w:tc>
        <w:tc>
          <w:tcPr>
            <w:tcW w:w="1872" w:type="dxa"/>
          </w:tcPr>
          <w:p w14:paraId="439EC887" w14:textId="77777777" w:rsidR="008A702A" w:rsidRDefault="00000000">
            <w:r>
              <w:t>Informed</w:t>
            </w:r>
          </w:p>
        </w:tc>
      </w:tr>
      <w:tr w:rsidR="008A702A" w14:paraId="483CC58A" w14:textId="77777777">
        <w:tc>
          <w:tcPr>
            <w:tcW w:w="2880" w:type="dxa"/>
          </w:tcPr>
          <w:p w14:paraId="66F9ED3B" w14:textId="77777777" w:rsidR="008A702A" w:rsidRDefault="00000000">
            <w:r>
              <w:t>Onboarding / CDD</w:t>
            </w:r>
          </w:p>
        </w:tc>
        <w:tc>
          <w:tcPr>
            <w:tcW w:w="1872" w:type="dxa"/>
          </w:tcPr>
          <w:p w14:paraId="1D0EDD15" w14:textId="77777777" w:rsidR="008A702A" w:rsidRDefault="008A702A"/>
        </w:tc>
        <w:tc>
          <w:tcPr>
            <w:tcW w:w="1872" w:type="dxa"/>
          </w:tcPr>
          <w:p w14:paraId="5E4430A4" w14:textId="77777777" w:rsidR="008A702A" w:rsidRDefault="008A702A"/>
        </w:tc>
        <w:tc>
          <w:tcPr>
            <w:tcW w:w="1872" w:type="dxa"/>
          </w:tcPr>
          <w:p w14:paraId="790ADE63" w14:textId="77777777" w:rsidR="008A702A" w:rsidRDefault="008A702A"/>
        </w:tc>
        <w:tc>
          <w:tcPr>
            <w:tcW w:w="1872" w:type="dxa"/>
          </w:tcPr>
          <w:p w14:paraId="310281DD" w14:textId="77777777" w:rsidR="008A702A" w:rsidRDefault="008A702A"/>
        </w:tc>
      </w:tr>
      <w:tr w:rsidR="008A702A" w14:paraId="61698474" w14:textId="77777777">
        <w:tc>
          <w:tcPr>
            <w:tcW w:w="2880" w:type="dxa"/>
          </w:tcPr>
          <w:p w14:paraId="5E731932" w14:textId="77777777" w:rsidR="008A702A" w:rsidRDefault="00000000">
            <w:r>
              <w:t>Screening</w:t>
            </w:r>
          </w:p>
        </w:tc>
        <w:tc>
          <w:tcPr>
            <w:tcW w:w="1872" w:type="dxa"/>
          </w:tcPr>
          <w:p w14:paraId="009A79BF" w14:textId="77777777" w:rsidR="008A702A" w:rsidRDefault="008A702A"/>
        </w:tc>
        <w:tc>
          <w:tcPr>
            <w:tcW w:w="1872" w:type="dxa"/>
          </w:tcPr>
          <w:p w14:paraId="413D3B0D" w14:textId="77777777" w:rsidR="008A702A" w:rsidRDefault="008A702A"/>
        </w:tc>
        <w:tc>
          <w:tcPr>
            <w:tcW w:w="1872" w:type="dxa"/>
          </w:tcPr>
          <w:p w14:paraId="650F3112" w14:textId="77777777" w:rsidR="008A702A" w:rsidRDefault="008A702A"/>
        </w:tc>
        <w:tc>
          <w:tcPr>
            <w:tcW w:w="1872" w:type="dxa"/>
          </w:tcPr>
          <w:p w14:paraId="12DA728F" w14:textId="77777777" w:rsidR="008A702A" w:rsidRDefault="008A702A"/>
        </w:tc>
      </w:tr>
      <w:tr w:rsidR="008A702A" w14:paraId="05816788" w14:textId="77777777">
        <w:tc>
          <w:tcPr>
            <w:tcW w:w="2880" w:type="dxa"/>
          </w:tcPr>
          <w:p w14:paraId="280B524C" w14:textId="77777777" w:rsidR="008A702A" w:rsidRDefault="00000000">
            <w:r>
              <w:t>Monitoring</w:t>
            </w:r>
          </w:p>
        </w:tc>
        <w:tc>
          <w:tcPr>
            <w:tcW w:w="1872" w:type="dxa"/>
          </w:tcPr>
          <w:p w14:paraId="556106A0" w14:textId="77777777" w:rsidR="008A702A" w:rsidRDefault="008A702A"/>
        </w:tc>
        <w:tc>
          <w:tcPr>
            <w:tcW w:w="1872" w:type="dxa"/>
          </w:tcPr>
          <w:p w14:paraId="0647F9E0" w14:textId="77777777" w:rsidR="008A702A" w:rsidRDefault="008A702A"/>
        </w:tc>
        <w:tc>
          <w:tcPr>
            <w:tcW w:w="1872" w:type="dxa"/>
          </w:tcPr>
          <w:p w14:paraId="1249C05F" w14:textId="77777777" w:rsidR="008A702A" w:rsidRDefault="008A702A"/>
        </w:tc>
        <w:tc>
          <w:tcPr>
            <w:tcW w:w="1872" w:type="dxa"/>
          </w:tcPr>
          <w:p w14:paraId="3265C69E" w14:textId="77777777" w:rsidR="008A702A" w:rsidRDefault="008A702A"/>
        </w:tc>
      </w:tr>
      <w:tr w:rsidR="008A702A" w14:paraId="6D94AF02" w14:textId="77777777">
        <w:tc>
          <w:tcPr>
            <w:tcW w:w="2880" w:type="dxa"/>
          </w:tcPr>
          <w:p w14:paraId="506D6E7F" w14:textId="77777777" w:rsidR="008A702A" w:rsidRDefault="00000000">
            <w:r>
              <w:t>Investigations</w:t>
            </w:r>
          </w:p>
        </w:tc>
        <w:tc>
          <w:tcPr>
            <w:tcW w:w="1872" w:type="dxa"/>
          </w:tcPr>
          <w:p w14:paraId="1134F0C8" w14:textId="77777777" w:rsidR="008A702A" w:rsidRDefault="008A702A"/>
        </w:tc>
        <w:tc>
          <w:tcPr>
            <w:tcW w:w="1872" w:type="dxa"/>
          </w:tcPr>
          <w:p w14:paraId="3705D8B0" w14:textId="77777777" w:rsidR="008A702A" w:rsidRDefault="008A702A"/>
        </w:tc>
        <w:tc>
          <w:tcPr>
            <w:tcW w:w="1872" w:type="dxa"/>
          </w:tcPr>
          <w:p w14:paraId="76569BF8" w14:textId="77777777" w:rsidR="008A702A" w:rsidRDefault="008A702A"/>
        </w:tc>
        <w:tc>
          <w:tcPr>
            <w:tcW w:w="1872" w:type="dxa"/>
          </w:tcPr>
          <w:p w14:paraId="73AA7699" w14:textId="77777777" w:rsidR="008A702A" w:rsidRDefault="008A702A"/>
        </w:tc>
      </w:tr>
      <w:tr w:rsidR="008A702A" w14:paraId="038E6E0C" w14:textId="77777777">
        <w:tc>
          <w:tcPr>
            <w:tcW w:w="2880" w:type="dxa"/>
          </w:tcPr>
          <w:p w14:paraId="7C0AE16D" w14:textId="77777777" w:rsidR="008A702A" w:rsidRDefault="00000000">
            <w:r>
              <w:t>SAR Decisioning &amp; Filing</w:t>
            </w:r>
          </w:p>
        </w:tc>
        <w:tc>
          <w:tcPr>
            <w:tcW w:w="1872" w:type="dxa"/>
          </w:tcPr>
          <w:p w14:paraId="4876FC9F" w14:textId="77777777" w:rsidR="008A702A" w:rsidRDefault="008A702A"/>
        </w:tc>
        <w:tc>
          <w:tcPr>
            <w:tcW w:w="1872" w:type="dxa"/>
          </w:tcPr>
          <w:p w14:paraId="17C63A81" w14:textId="77777777" w:rsidR="008A702A" w:rsidRDefault="008A702A"/>
        </w:tc>
        <w:tc>
          <w:tcPr>
            <w:tcW w:w="1872" w:type="dxa"/>
          </w:tcPr>
          <w:p w14:paraId="2ABF1911" w14:textId="77777777" w:rsidR="008A702A" w:rsidRDefault="008A702A"/>
        </w:tc>
        <w:tc>
          <w:tcPr>
            <w:tcW w:w="1872" w:type="dxa"/>
          </w:tcPr>
          <w:p w14:paraId="00316F7B" w14:textId="77777777" w:rsidR="008A702A" w:rsidRDefault="008A702A"/>
        </w:tc>
      </w:tr>
      <w:tr w:rsidR="008A702A" w14:paraId="20BA63D6" w14:textId="77777777">
        <w:tc>
          <w:tcPr>
            <w:tcW w:w="2880" w:type="dxa"/>
          </w:tcPr>
          <w:p w14:paraId="0A2063DB" w14:textId="77777777" w:rsidR="008A702A" w:rsidRDefault="00000000">
            <w:r>
              <w:t>Partner Bank Reporting (if applicable)</w:t>
            </w:r>
          </w:p>
        </w:tc>
        <w:tc>
          <w:tcPr>
            <w:tcW w:w="1872" w:type="dxa"/>
          </w:tcPr>
          <w:p w14:paraId="17A391D4" w14:textId="77777777" w:rsidR="008A702A" w:rsidRDefault="008A702A"/>
        </w:tc>
        <w:tc>
          <w:tcPr>
            <w:tcW w:w="1872" w:type="dxa"/>
          </w:tcPr>
          <w:p w14:paraId="791E2753" w14:textId="77777777" w:rsidR="008A702A" w:rsidRDefault="008A702A"/>
        </w:tc>
        <w:tc>
          <w:tcPr>
            <w:tcW w:w="1872" w:type="dxa"/>
          </w:tcPr>
          <w:p w14:paraId="14D79148" w14:textId="77777777" w:rsidR="008A702A" w:rsidRDefault="008A702A"/>
        </w:tc>
        <w:tc>
          <w:tcPr>
            <w:tcW w:w="1872" w:type="dxa"/>
          </w:tcPr>
          <w:p w14:paraId="2CED253D" w14:textId="77777777" w:rsidR="008A702A" w:rsidRDefault="008A702A"/>
        </w:tc>
      </w:tr>
    </w:tbl>
    <w:p w14:paraId="2994D7F1" w14:textId="77777777" w:rsidR="008A702A" w:rsidRDefault="008A702A">
      <w:pPr>
        <w:pStyle w:val="HREBody"/>
      </w:pPr>
    </w:p>
    <w:p w14:paraId="2A966290" w14:textId="77777777" w:rsidR="00FC32E8" w:rsidRDefault="00FC32E8">
      <w:pPr>
        <w:pStyle w:val="HREH1"/>
      </w:pPr>
    </w:p>
    <w:p w14:paraId="2769B0F0" w14:textId="77777777" w:rsidR="00FC32E8" w:rsidRDefault="00FC32E8">
      <w:pPr>
        <w:rPr>
          <w:rFonts w:ascii="Calibri" w:eastAsia="Calibri" w:hAnsi="Calibri"/>
          <w:b/>
          <w:sz w:val="36"/>
        </w:rPr>
      </w:pPr>
      <w:r>
        <w:br w:type="page"/>
      </w:r>
    </w:p>
    <w:p w14:paraId="4E2D122A" w14:textId="665008AD" w:rsidR="008A702A" w:rsidRDefault="00000000">
      <w:pPr>
        <w:pStyle w:val="HREH1"/>
      </w:pPr>
      <w:r>
        <w:lastRenderedPageBreak/>
        <w:t>Step 3 — Strengthen Core Controls (The “Exam Questions” Layer)</w:t>
      </w:r>
    </w:p>
    <w:p w14:paraId="321EB864" w14:textId="77777777" w:rsidR="008A702A" w:rsidRDefault="00000000">
      <w:pPr>
        <w:pStyle w:val="HREBody"/>
      </w:pPr>
      <w:r>
        <w:t>In reviews, partners and regulators typically test the same control themes: consistency, rationale, evidence, and oversight. Use the sections below to tighten those areas without rebuilding everything.</w:t>
      </w:r>
    </w:p>
    <w:p w14:paraId="5F9493B7" w14:textId="77777777" w:rsidR="008A702A" w:rsidRDefault="00000000">
      <w:pPr>
        <w:pStyle w:val="HREH2"/>
      </w:pPr>
      <w:r>
        <w:t>3A. CDD / EDD Standards</w:t>
      </w:r>
    </w:p>
    <w:p w14:paraId="61F3C6F1" w14:textId="77777777" w:rsidR="008A702A" w:rsidRDefault="00000000">
      <w:pPr>
        <w:pStyle w:val="HREBody"/>
      </w:pPr>
      <w:r>
        <w:t>Define what “good onboarding” looks like for your business model. Make your standards clear enough that two different reviewers reach similar outcomes.</w:t>
      </w:r>
    </w:p>
    <w:tbl>
      <w:tblPr>
        <w:tblStyle w:val="TableGrid"/>
        <w:tblW w:w="0" w:type="auto"/>
        <w:tblLook w:val="04A0" w:firstRow="1" w:lastRow="0" w:firstColumn="1" w:lastColumn="0" w:noHBand="0" w:noVBand="1"/>
      </w:tblPr>
      <w:tblGrid>
        <w:gridCol w:w="2818"/>
        <w:gridCol w:w="3352"/>
        <w:gridCol w:w="2686"/>
      </w:tblGrid>
      <w:tr w:rsidR="008A702A" w14:paraId="012084D8" w14:textId="77777777">
        <w:tc>
          <w:tcPr>
            <w:tcW w:w="3168" w:type="dxa"/>
          </w:tcPr>
          <w:p w14:paraId="6024083B" w14:textId="77777777" w:rsidR="008A702A" w:rsidRDefault="00000000">
            <w:r>
              <w:t>Requirement</w:t>
            </w:r>
          </w:p>
        </w:tc>
        <w:tc>
          <w:tcPr>
            <w:tcW w:w="4032" w:type="dxa"/>
          </w:tcPr>
          <w:p w14:paraId="615CA2DD" w14:textId="77777777" w:rsidR="008A702A" w:rsidRDefault="00000000">
            <w:r>
              <w:t>Standard (what “good” looks like)</w:t>
            </w:r>
          </w:p>
        </w:tc>
        <w:tc>
          <w:tcPr>
            <w:tcW w:w="3168" w:type="dxa"/>
          </w:tcPr>
          <w:p w14:paraId="39E0D38C" w14:textId="77777777" w:rsidR="008A702A" w:rsidRDefault="00000000">
            <w:r>
              <w:t>Evidence you retain</w:t>
            </w:r>
          </w:p>
        </w:tc>
      </w:tr>
      <w:tr w:rsidR="008A702A" w14:paraId="5FDCC010" w14:textId="77777777">
        <w:tc>
          <w:tcPr>
            <w:tcW w:w="3168" w:type="dxa"/>
          </w:tcPr>
          <w:p w14:paraId="579503EC" w14:textId="77777777" w:rsidR="008A702A" w:rsidRDefault="00000000">
            <w:r>
              <w:t>Identity verification</w:t>
            </w:r>
          </w:p>
        </w:tc>
        <w:tc>
          <w:tcPr>
            <w:tcW w:w="4032" w:type="dxa"/>
          </w:tcPr>
          <w:p w14:paraId="0AC44A15" w14:textId="77777777" w:rsidR="008A702A" w:rsidRDefault="008A702A"/>
        </w:tc>
        <w:tc>
          <w:tcPr>
            <w:tcW w:w="3168" w:type="dxa"/>
          </w:tcPr>
          <w:p w14:paraId="275AC24D" w14:textId="77777777" w:rsidR="008A702A" w:rsidRDefault="008A702A"/>
        </w:tc>
      </w:tr>
      <w:tr w:rsidR="008A702A" w14:paraId="1B761806" w14:textId="77777777">
        <w:tc>
          <w:tcPr>
            <w:tcW w:w="3168" w:type="dxa"/>
          </w:tcPr>
          <w:p w14:paraId="32C11994" w14:textId="77777777" w:rsidR="008A702A" w:rsidRDefault="00000000">
            <w:r>
              <w:t>Beneficial ownership (if applicable)</w:t>
            </w:r>
          </w:p>
        </w:tc>
        <w:tc>
          <w:tcPr>
            <w:tcW w:w="4032" w:type="dxa"/>
          </w:tcPr>
          <w:p w14:paraId="34FF0E98" w14:textId="77777777" w:rsidR="008A702A" w:rsidRDefault="008A702A"/>
        </w:tc>
        <w:tc>
          <w:tcPr>
            <w:tcW w:w="3168" w:type="dxa"/>
          </w:tcPr>
          <w:p w14:paraId="37DFB02A" w14:textId="77777777" w:rsidR="008A702A" w:rsidRDefault="008A702A"/>
        </w:tc>
      </w:tr>
      <w:tr w:rsidR="008A702A" w14:paraId="18596680" w14:textId="77777777">
        <w:tc>
          <w:tcPr>
            <w:tcW w:w="3168" w:type="dxa"/>
          </w:tcPr>
          <w:p w14:paraId="1C844CB6" w14:textId="77777777" w:rsidR="008A702A" w:rsidRDefault="00000000">
            <w:r>
              <w:t>Risk rating assignment</w:t>
            </w:r>
          </w:p>
        </w:tc>
        <w:tc>
          <w:tcPr>
            <w:tcW w:w="4032" w:type="dxa"/>
          </w:tcPr>
          <w:p w14:paraId="1A7FB43E" w14:textId="77777777" w:rsidR="008A702A" w:rsidRDefault="008A702A"/>
        </w:tc>
        <w:tc>
          <w:tcPr>
            <w:tcW w:w="3168" w:type="dxa"/>
          </w:tcPr>
          <w:p w14:paraId="303264FF" w14:textId="77777777" w:rsidR="008A702A" w:rsidRDefault="008A702A"/>
        </w:tc>
      </w:tr>
      <w:tr w:rsidR="008A702A" w14:paraId="67F32356" w14:textId="77777777">
        <w:tc>
          <w:tcPr>
            <w:tcW w:w="3168" w:type="dxa"/>
          </w:tcPr>
          <w:p w14:paraId="38BE0A80" w14:textId="77777777" w:rsidR="008A702A" w:rsidRDefault="00000000">
            <w:r>
              <w:t>EDD triggers</w:t>
            </w:r>
          </w:p>
        </w:tc>
        <w:tc>
          <w:tcPr>
            <w:tcW w:w="4032" w:type="dxa"/>
          </w:tcPr>
          <w:p w14:paraId="6DA5ADB5" w14:textId="77777777" w:rsidR="008A702A" w:rsidRDefault="008A702A"/>
        </w:tc>
        <w:tc>
          <w:tcPr>
            <w:tcW w:w="3168" w:type="dxa"/>
          </w:tcPr>
          <w:p w14:paraId="0805F776" w14:textId="77777777" w:rsidR="008A702A" w:rsidRDefault="008A702A"/>
        </w:tc>
      </w:tr>
      <w:tr w:rsidR="008A702A" w14:paraId="77E3D8EE" w14:textId="77777777">
        <w:tc>
          <w:tcPr>
            <w:tcW w:w="3168" w:type="dxa"/>
          </w:tcPr>
          <w:p w14:paraId="759F804B" w14:textId="77777777" w:rsidR="008A702A" w:rsidRDefault="00000000">
            <w:r>
              <w:t>EDD documentation package</w:t>
            </w:r>
          </w:p>
        </w:tc>
        <w:tc>
          <w:tcPr>
            <w:tcW w:w="4032" w:type="dxa"/>
          </w:tcPr>
          <w:p w14:paraId="0309A63A" w14:textId="77777777" w:rsidR="008A702A" w:rsidRDefault="008A702A"/>
        </w:tc>
        <w:tc>
          <w:tcPr>
            <w:tcW w:w="3168" w:type="dxa"/>
          </w:tcPr>
          <w:p w14:paraId="243A9E9E" w14:textId="77777777" w:rsidR="008A702A" w:rsidRDefault="008A702A"/>
        </w:tc>
      </w:tr>
      <w:tr w:rsidR="008A702A" w14:paraId="00CC6D68" w14:textId="77777777">
        <w:tc>
          <w:tcPr>
            <w:tcW w:w="3168" w:type="dxa"/>
          </w:tcPr>
          <w:p w14:paraId="7B0628E1" w14:textId="77777777" w:rsidR="008A702A" w:rsidRDefault="00000000">
            <w:r>
              <w:t>Approval authority for high-risk customers</w:t>
            </w:r>
          </w:p>
        </w:tc>
        <w:tc>
          <w:tcPr>
            <w:tcW w:w="4032" w:type="dxa"/>
          </w:tcPr>
          <w:p w14:paraId="365B3AD9" w14:textId="77777777" w:rsidR="008A702A" w:rsidRDefault="008A702A"/>
        </w:tc>
        <w:tc>
          <w:tcPr>
            <w:tcW w:w="3168" w:type="dxa"/>
          </w:tcPr>
          <w:p w14:paraId="64ED5B17" w14:textId="77777777" w:rsidR="008A702A" w:rsidRDefault="008A702A"/>
        </w:tc>
      </w:tr>
    </w:tbl>
    <w:p w14:paraId="3D8DDF69" w14:textId="77777777" w:rsidR="008A702A" w:rsidRDefault="008A702A">
      <w:pPr>
        <w:pStyle w:val="HREBody"/>
      </w:pPr>
    </w:p>
    <w:p w14:paraId="06C09491" w14:textId="77777777" w:rsidR="008A702A" w:rsidRDefault="00000000">
      <w:pPr>
        <w:pStyle w:val="HREH2"/>
      </w:pPr>
      <w:r>
        <w:t>3B. Transaction Monitoring Governance</w:t>
      </w:r>
    </w:p>
    <w:p w14:paraId="25104051" w14:textId="77777777" w:rsidR="008A702A" w:rsidRDefault="00000000">
      <w:pPr>
        <w:pStyle w:val="HREBody"/>
      </w:pPr>
      <w:r>
        <w:t>Monitoring doesn’t have to be complex to be defensible. What matters is that thresholds are intentional, documented, and reviewed.</w:t>
      </w:r>
    </w:p>
    <w:tbl>
      <w:tblPr>
        <w:tblStyle w:val="TableGrid"/>
        <w:tblW w:w="0" w:type="auto"/>
        <w:tblLook w:val="04A0" w:firstRow="1" w:lastRow="0" w:firstColumn="1" w:lastColumn="0" w:noHBand="0" w:noVBand="1"/>
      </w:tblPr>
      <w:tblGrid>
        <w:gridCol w:w="2146"/>
        <w:gridCol w:w="3829"/>
        <w:gridCol w:w="1357"/>
        <w:gridCol w:w="1524"/>
      </w:tblGrid>
      <w:tr w:rsidR="008A702A" w14:paraId="5FC02014" w14:textId="77777777">
        <w:tc>
          <w:tcPr>
            <w:tcW w:w="2304" w:type="dxa"/>
          </w:tcPr>
          <w:p w14:paraId="7B801B65" w14:textId="77777777" w:rsidR="008A702A" w:rsidRDefault="00000000">
            <w:r>
              <w:t>Item</w:t>
            </w:r>
          </w:p>
        </w:tc>
        <w:tc>
          <w:tcPr>
            <w:tcW w:w="4176" w:type="dxa"/>
          </w:tcPr>
          <w:p w14:paraId="7CA7E5D4" w14:textId="77777777" w:rsidR="008A702A" w:rsidRDefault="00000000">
            <w:r>
              <w:t>What to document</w:t>
            </w:r>
          </w:p>
        </w:tc>
        <w:tc>
          <w:tcPr>
            <w:tcW w:w="1440" w:type="dxa"/>
          </w:tcPr>
          <w:p w14:paraId="5028E4D5" w14:textId="77777777" w:rsidR="008A702A" w:rsidRDefault="00000000">
            <w:r>
              <w:t>Owner</w:t>
            </w:r>
          </w:p>
        </w:tc>
        <w:tc>
          <w:tcPr>
            <w:tcW w:w="1584" w:type="dxa"/>
          </w:tcPr>
          <w:p w14:paraId="4BDFB218" w14:textId="77777777" w:rsidR="008A702A" w:rsidRDefault="00000000">
            <w:r>
              <w:t>Review frequency</w:t>
            </w:r>
          </w:p>
        </w:tc>
      </w:tr>
      <w:tr w:rsidR="008A702A" w14:paraId="1A27B1FF" w14:textId="77777777">
        <w:tc>
          <w:tcPr>
            <w:tcW w:w="2304" w:type="dxa"/>
          </w:tcPr>
          <w:p w14:paraId="689B858A" w14:textId="77777777" w:rsidR="008A702A" w:rsidRDefault="00000000">
            <w:r>
              <w:t>Alert logic / scenarios</w:t>
            </w:r>
          </w:p>
        </w:tc>
        <w:tc>
          <w:tcPr>
            <w:tcW w:w="4176" w:type="dxa"/>
          </w:tcPr>
          <w:p w14:paraId="315EFD03" w14:textId="77777777" w:rsidR="008A702A" w:rsidRDefault="00000000">
            <w:r>
              <w:t>Scenario purpose, typology link, data fields used</w:t>
            </w:r>
          </w:p>
        </w:tc>
        <w:tc>
          <w:tcPr>
            <w:tcW w:w="1440" w:type="dxa"/>
          </w:tcPr>
          <w:p w14:paraId="241D3BED" w14:textId="77777777" w:rsidR="008A702A" w:rsidRDefault="008A702A"/>
        </w:tc>
        <w:tc>
          <w:tcPr>
            <w:tcW w:w="1584" w:type="dxa"/>
          </w:tcPr>
          <w:p w14:paraId="1090B2CA" w14:textId="77777777" w:rsidR="008A702A" w:rsidRDefault="008A702A"/>
        </w:tc>
      </w:tr>
      <w:tr w:rsidR="008A702A" w14:paraId="4C295F9D" w14:textId="77777777">
        <w:tc>
          <w:tcPr>
            <w:tcW w:w="2304" w:type="dxa"/>
          </w:tcPr>
          <w:p w14:paraId="7FE44977" w14:textId="77777777" w:rsidR="008A702A" w:rsidRDefault="00000000">
            <w:r>
              <w:t>Threshold rationale</w:t>
            </w:r>
          </w:p>
        </w:tc>
        <w:tc>
          <w:tcPr>
            <w:tcW w:w="4176" w:type="dxa"/>
          </w:tcPr>
          <w:p w14:paraId="73E36585" w14:textId="77777777" w:rsidR="008A702A" w:rsidRDefault="00000000">
            <w:r>
              <w:t>Why this threshold, what risk it targets, what changes trigger retuning</w:t>
            </w:r>
          </w:p>
        </w:tc>
        <w:tc>
          <w:tcPr>
            <w:tcW w:w="1440" w:type="dxa"/>
          </w:tcPr>
          <w:p w14:paraId="75BA92EE" w14:textId="77777777" w:rsidR="008A702A" w:rsidRDefault="008A702A"/>
        </w:tc>
        <w:tc>
          <w:tcPr>
            <w:tcW w:w="1584" w:type="dxa"/>
          </w:tcPr>
          <w:p w14:paraId="11A398CB" w14:textId="77777777" w:rsidR="008A702A" w:rsidRDefault="008A702A"/>
        </w:tc>
      </w:tr>
      <w:tr w:rsidR="008A702A" w14:paraId="2A2AD64C" w14:textId="77777777">
        <w:tc>
          <w:tcPr>
            <w:tcW w:w="2304" w:type="dxa"/>
          </w:tcPr>
          <w:p w14:paraId="6A45E8E4" w14:textId="77777777" w:rsidR="008A702A" w:rsidRDefault="00000000">
            <w:r>
              <w:t>Tuning &amp; changes</w:t>
            </w:r>
          </w:p>
        </w:tc>
        <w:tc>
          <w:tcPr>
            <w:tcW w:w="4176" w:type="dxa"/>
          </w:tcPr>
          <w:p w14:paraId="17047163" w14:textId="77777777" w:rsidR="008A702A" w:rsidRDefault="00000000">
            <w:r>
              <w:t>Approval, testing, and implementation evidence</w:t>
            </w:r>
          </w:p>
        </w:tc>
        <w:tc>
          <w:tcPr>
            <w:tcW w:w="1440" w:type="dxa"/>
          </w:tcPr>
          <w:p w14:paraId="207E8E6D" w14:textId="77777777" w:rsidR="008A702A" w:rsidRDefault="008A702A"/>
        </w:tc>
        <w:tc>
          <w:tcPr>
            <w:tcW w:w="1584" w:type="dxa"/>
          </w:tcPr>
          <w:p w14:paraId="322AAC90" w14:textId="77777777" w:rsidR="008A702A" w:rsidRDefault="008A702A"/>
        </w:tc>
      </w:tr>
      <w:tr w:rsidR="008A702A" w14:paraId="06B4FCC7" w14:textId="77777777">
        <w:tc>
          <w:tcPr>
            <w:tcW w:w="2304" w:type="dxa"/>
          </w:tcPr>
          <w:p w14:paraId="486BEE1C" w14:textId="77777777" w:rsidR="008A702A" w:rsidRDefault="00000000">
            <w:r>
              <w:t>Back-testing / validation</w:t>
            </w:r>
          </w:p>
        </w:tc>
        <w:tc>
          <w:tcPr>
            <w:tcW w:w="4176" w:type="dxa"/>
          </w:tcPr>
          <w:p w14:paraId="6F9A9377" w14:textId="77777777" w:rsidR="008A702A" w:rsidRDefault="00000000">
            <w:r>
              <w:t>How you check performance and false positives</w:t>
            </w:r>
          </w:p>
        </w:tc>
        <w:tc>
          <w:tcPr>
            <w:tcW w:w="1440" w:type="dxa"/>
          </w:tcPr>
          <w:p w14:paraId="181840A2" w14:textId="77777777" w:rsidR="008A702A" w:rsidRDefault="008A702A"/>
        </w:tc>
        <w:tc>
          <w:tcPr>
            <w:tcW w:w="1584" w:type="dxa"/>
          </w:tcPr>
          <w:p w14:paraId="757438D3" w14:textId="77777777" w:rsidR="008A702A" w:rsidRDefault="008A702A"/>
        </w:tc>
      </w:tr>
    </w:tbl>
    <w:p w14:paraId="68521729" w14:textId="77777777" w:rsidR="008A702A" w:rsidRDefault="008A702A">
      <w:pPr>
        <w:pStyle w:val="HREBody"/>
      </w:pPr>
    </w:p>
    <w:p w14:paraId="304F7AEE" w14:textId="77777777" w:rsidR="008A702A" w:rsidRDefault="00000000">
      <w:pPr>
        <w:pStyle w:val="HREH2"/>
      </w:pPr>
      <w:r>
        <w:t>3C. SAR Decisioning Governance</w:t>
      </w:r>
    </w:p>
    <w:p w14:paraId="742BB9AD" w14:textId="77777777" w:rsidR="008A702A" w:rsidRDefault="00000000">
      <w:pPr>
        <w:pStyle w:val="HREBody"/>
      </w:pPr>
      <w:r>
        <w:t>Consistency is the goal. Create a simple decision framework so investigators know what “file” vs “monitor” means in your environment.</w:t>
      </w:r>
    </w:p>
    <w:tbl>
      <w:tblPr>
        <w:tblStyle w:val="TableGrid"/>
        <w:tblW w:w="0" w:type="auto"/>
        <w:tblLook w:val="04A0" w:firstRow="1" w:lastRow="0" w:firstColumn="1" w:lastColumn="0" w:noHBand="0" w:noVBand="1"/>
      </w:tblPr>
      <w:tblGrid>
        <w:gridCol w:w="2519"/>
        <w:gridCol w:w="3321"/>
        <w:gridCol w:w="3016"/>
      </w:tblGrid>
      <w:tr w:rsidR="008A702A" w14:paraId="5F75DF9A" w14:textId="77777777">
        <w:tc>
          <w:tcPr>
            <w:tcW w:w="2880" w:type="dxa"/>
          </w:tcPr>
          <w:p w14:paraId="4C7F0B0C" w14:textId="77777777" w:rsidR="008A702A" w:rsidRDefault="00000000">
            <w:r>
              <w:lastRenderedPageBreak/>
              <w:t>Decision Point</w:t>
            </w:r>
          </w:p>
        </w:tc>
        <w:tc>
          <w:tcPr>
            <w:tcW w:w="4032" w:type="dxa"/>
          </w:tcPr>
          <w:p w14:paraId="40D7A619" w14:textId="77777777" w:rsidR="008A702A" w:rsidRDefault="00000000">
            <w:r>
              <w:t>Guidance (write your standard)</w:t>
            </w:r>
          </w:p>
        </w:tc>
        <w:tc>
          <w:tcPr>
            <w:tcW w:w="3456" w:type="dxa"/>
          </w:tcPr>
          <w:p w14:paraId="2C0BE5A6" w14:textId="77777777" w:rsidR="008A702A" w:rsidRDefault="00000000">
            <w:r>
              <w:t>Documentation required</w:t>
            </w:r>
          </w:p>
        </w:tc>
      </w:tr>
      <w:tr w:rsidR="008A702A" w14:paraId="73939C14" w14:textId="77777777">
        <w:tc>
          <w:tcPr>
            <w:tcW w:w="2880" w:type="dxa"/>
          </w:tcPr>
          <w:p w14:paraId="48101007" w14:textId="77777777" w:rsidR="008A702A" w:rsidRDefault="00000000">
            <w:r>
              <w:t>When to escalate to SAR committee / approver</w:t>
            </w:r>
          </w:p>
        </w:tc>
        <w:tc>
          <w:tcPr>
            <w:tcW w:w="4032" w:type="dxa"/>
          </w:tcPr>
          <w:p w14:paraId="2B43CAC4" w14:textId="77777777" w:rsidR="008A702A" w:rsidRDefault="008A702A"/>
        </w:tc>
        <w:tc>
          <w:tcPr>
            <w:tcW w:w="3456" w:type="dxa"/>
          </w:tcPr>
          <w:p w14:paraId="62C67C18" w14:textId="77777777" w:rsidR="008A702A" w:rsidRDefault="008A702A"/>
        </w:tc>
      </w:tr>
      <w:tr w:rsidR="008A702A" w14:paraId="0895AD4C" w14:textId="77777777">
        <w:tc>
          <w:tcPr>
            <w:tcW w:w="2880" w:type="dxa"/>
          </w:tcPr>
          <w:p w14:paraId="00D792AC" w14:textId="77777777" w:rsidR="008A702A" w:rsidRDefault="00000000">
            <w:r>
              <w:t>When to file vs monitor</w:t>
            </w:r>
          </w:p>
        </w:tc>
        <w:tc>
          <w:tcPr>
            <w:tcW w:w="4032" w:type="dxa"/>
          </w:tcPr>
          <w:p w14:paraId="69227712" w14:textId="77777777" w:rsidR="008A702A" w:rsidRDefault="008A702A"/>
        </w:tc>
        <w:tc>
          <w:tcPr>
            <w:tcW w:w="3456" w:type="dxa"/>
          </w:tcPr>
          <w:p w14:paraId="6A3EDC48" w14:textId="77777777" w:rsidR="008A702A" w:rsidRDefault="008A702A"/>
        </w:tc>
      </w:tr>
      <w:tr w:rsidR="008A702A" w14:paraId="56676828" w14:textId="77777777">
        <w:tc>
          <w:tcPr>
            <w:tcW w:w="2880" w:type="dxa"/>
          </w:tcPr>
          <w:p w14:paraId="7125E8BD" w14:textId="77777777" w:rsidR="008A702A" w:rsidRDefault="00000000">
            <w:r>
              <w:t>Timelines and deadlines</w:t>
            </w:r>
          </w:p>
        </w:tc>
        <w:tc>
          <w:tcPr>
            <w:tcW w:w="4032" w:type="dxa"/>
          </w:tcPr>
          <w:p w14:paraId="565E9A56" w14:textId="77777777" w:rsidR="008A702A" w:rsidRDefault="008A702A"/>
        </w:tc>
        <w:tc>
          <w:tcPr>
            <w:tcW w:w="3456" w:type="dxa"/>
          </w:tcPr>
          <w:p w14:paraId="0653C2DE" w14:textId="77777777" w:rsidR="008A702A" w:rsidRDefault="008A702A"/>
        </w:tc>
      </w:tr>
      <w:tr w:rsidR="008A702A" w14:paraId="2C2376BF" w14:textId="77777777">
        <w:tc>
          <w:tcPr>
            <w:tcW w:w="2880" w:type="dxa"/>
          </w:tcPr>
          <w:p w14:paraId="5813B87F" w14:textId="77777777" w:rsidR="008A702A" w:rsidRDefault="00000000">
            <w:r>
              <w:t>Quality expectations for narratives</w:t>
            </w:r>
          </w:p>
        </w:tc>
        <w:tc>
          <w:tcPr>
            <w:tcW w:w="4032" w:type="dxa"/>
          </w:tcPr>
          <w:p w14:paraId="0799C48B" w14:textId="77777777" w:rsidR="008A702A" w:rsidRDefault="008A702A"/>
        </w:tc>
        <w:tc>
          <w:tcPr>
            <w:tcW w:w="3456" w:type="dxa"/>
          </w:tcPr>
          <w:p w14:paraId="3115CB42" w14:textId="77777777" w:rsidR="008A702A" w:rsidRDefault="008A702A"/>
        </w:tc>
      </w:tr>
      <w:tr w:rsidR="008A702A" w14:paraId="72412770" w14:textId="77777777">
        <w:tc>
          <w:tcPr>
            <w:tcW w:w="2880" w:type="dxa"/>
          </w:tcPr>
          <w:p w14:paraId="678F5A12" w14:textId="77777777" w:rsidR="008A702A" w:rsidRDefault="00000000">
            <w:r>
              <w:t>Law enforcement requests handling</w:t>
            </w:r>
          </w:p>
        </w:tc>
        <w:tc>
          <w:tcPr>
            <w:tcW w:w="4032" w:type="dxa"/>
          </w:tcPr>
          <w:p w14:paraId="017F58D5" w14:textId="77777777" w:rsidR="008A702A" w:rsidRDefault="008A702A"/>
        </w:tc>
        <w:tc>
          <w:tcPr>
            <w:tcW w:w="3456" w:type="dxa"/>
          </w:tcPr>
          <w:p w14:paraId="0D7F9343" w14:textId="77777777" w:rsidR="008A702A" w:rsidRDefault="008A702A"/>
        </w:tc>
      </w:tr>
    </w:tbl>
    <w:p w14:paraId="4892DE93" w14:textId="77777777" w:rsidR="008A702A" w:rsidRDefault="008A702A">
      <w:pPr>
        <w:pStyle w:val="HREBody"/>
      </w:pPr>
    </w:p>
    <w:p w14:paraId="7F570DC7" w14:textId="77777777" w:rsidR="00FC32E8" w:rsidRDefault="00FC32E8">
      <w:pPr>
        <w:rPr>
          <w:rFonts w:ascii="Calibri" w:eastAsia="Calibri" w:hAnsi="Calibri"/>
          <w:b/>
          <w:sz w:val="36"/>
        </w:rPr>
      </w:pPr>
      <w:r>
        <w:br w:type="page"/>
      </w:r>
    </w:p>
    <w:p w14:paraId="45717868" w14:textId="1CB5A3BB" w:rsidR="008A702A" w:rsidRDefault="00000000">
      <w:pPr>
        <w:pStyle w:val="HREH1"/>
      </w:pPr>
      <w:r>
        <w:lastRenderedPageBreak/>
        <w:t>Step 4 — Governance, Escalation, and Reporting (Leadership Layer)</w:t>
      </w:r>
    </w:p>
    <w:p w14:paraId="2D2500CE" w14:textId="77777777" w:rsidR="008A702A" w:rsidRDefault="00000000">
      <w:pPr>
        <w:pStyle w:val="HREBody"/>
      </w:pPr>
      <w:r>
        <w:t>A strong AML program is not just controls—it’s oversight. You need visible ownership, clear escalation, and reporting that shows management is paying attention.</w:t>
      </w:r>
    </w:p>
    <w:p w14:paraId="7F9C9C33" w14:textId="77777777" w:rsidR="008A702A" w:rsidRDefault="00000000">
      <w:pPr>
        <w:pStyle w:val="HREH2"/>
      </w:pPr>
      <w:r>
        <w:t>4A. Escalation Triggers (define thresholds)</w:t>
      </w:r>
    </w:p>
    <w:tbl>
      <w:tblPr>
        <w:tblStyle w:val="TableGrid"/>
        <w:tblW w:w="0" w:type="auto"/>
        <w:tblLook w:val="04A0" w:firstRow="1" w:lastRow="0" w:firstColumn="1" w:lastColumn="0" w:noHBand="0" w:noVBand="1"/>
      </w:tblPr>
      <w:tblGrid>
        <w:gridCol w:w="2345"/>
        <w:gridCol w:w="3055"/>
        <w:gridCol w:w="1819"/>
        <w:gridCol w:w="1637"/>
      </w:tblGrid>
      <w:tr w:rsidR="008A702A" w14:paraId="1A754920" w14:textId="77777777">
        <w:tc>
          <w:tcPr>
            <w:tcW w:w="2592" w:type="dxa"/>
          </w:tcPr>
          <w:p w14:paraId="362147AA" w14:textId="77777777" w:rsidR="008A702A" w:rsidRDefault="00000000">
            <w:r>
              <w:t>Trigger</w:t>
            </w:r>
          </w:p>
        </w:tc>
        <w:tc>
          <w:tcPr>
            <w:tcW w:w="3456" w:type="dxa"/>
          </w:tcPr>
          <w:p w14:paraId="35C71768" w14:textId="77777777" w:rsidR="008A702A" w:rsidRDefault="00000000">
            <w:r>
              <w:t>Examples</w:t>
            </w:r>
          </w:p>
        </w:tc>
        <w:tc>
          <w:tcPr>
            <w:tcW w:w="2016" w:type="dxa"/>
          </w:tcPr>
          <w:p w14:paraId="31D9B1AC" w14:textId="77777777" w:rsidR="008A702A" w:rsidRDefault="00000000">
            <w:r>
              <w:t>Escalate to</w:t>
            </w:r>
          </w:p>
        </w:tc>
        <w:tc>
          <w:tcPr>
            <w:tcW w:w="1728" w:type="dxa"/>
          </w:tcPr>
          <w:p w14:paraId="0781D281" w14:textId="77777777" w:rsidR="008A702A" w:rsidRDefault="00000000">
            <w:r>
              <w:t>Timeframe</w:t>
            </w:r>
          </w:p>
        </w:tc>
      </w:tr>
      <w:tr w:rsidR="008A702A" w14:paraId="4970EE0E" w14:textId="77777777">
        <w:tc>
          <w:tcPr>
            <w:tcW w:w="2592" w:type="dxa"/>
          </w:tcPr>
          <w:p w14:paraId="20831530" w14:textId="77777777" w:rsidR="008A702A" w:rsidRDefault="00000000">
            <w:r>
              <w:t>High-risk customer onboarding</w:t>
            </w:r>
          </w:p>
        </w:tc>
        <w:tc>
          <w:tcPr>
            <w:tcW w:w="3456" w:type="dxa"/>
          </w:tcPr>
          <w:p w14:paraId="5FD08DA1" w14:textId="77777777" w:rsidR="008A702A" w:rsidRDefault="00000000">
            <w:r>
              <w:t>PEP, sanctioned geo exposure, complex ownership</w:t>
            </w:r>
          </w:p>
        </w:tc>
        <w:tc>
          <w:tcPr>
            <w:tcW w:w="2016" w:type="dxa"/>
          </w:tcPr>
          <w:p w14:paraId="5ED6465C" w14:textId="77777777" w:rsidR="008A702A" w:rsidRDefault="008A702A"/>
        </w:tc>
        <w:tc>
          <w:tcPr>
            <w:tcW w:w="1728" w:type="dxa"/>
          </w:tcPr>
          <w:p w14:paraId="5D560E56" w14:textId="77777777" w:rsidR="008A702A" w:rsidRDefault="008A702A"/>
        </w:tc>
      </w:tr>
      <w:tr w:rsidR="008A702A" w14:paraId="52E6E1C4" w14:textId="77777777">
        <w:tc>
          <w:tcPr>
            <w:tcW w:w="2592" w:type="dxa"/>
          </w:tcPr>
          <w:p w14:paraId="0C696FBF" w14:textId="77777777" w:rsidR="008A702A" w:rsidRDefault="00000000">
            <w:r>
              <w:t>Material fraud or suspected criminal activity</w:t>
            </w:r>
          </w:p>
        </w:tc>
        <w:tc>
          <w:tcPr>
            <w:tcW w:w="3456" w:type="dxa"/>
          </w:tcPr>
          <w:p w14:paraId="43F0B200" w14:textId="77777777" w:rsidR="008A702A" w:rsidRDefault="00000000">
            <w:r>
              <w:t>Account takeover, mule networks, repeated scams</w:t>
            </w:r>
          </w:p>
        </w:tc>
        <w:tc>
          <w:tcPr>
            <w:tcW w:w="2016" w:type="dxa"/>
          </w:tcPr>
          <w:p w14:paraId="03E98C03" w14:textId="77777777" w:rsidR="008A702A" w:rsidRDefault="008A702A"/>
        </w:tc>
        <w:tc>
          <w:tcPr>
            <w:tcW w:w="1728" w:type="dxa"/>
          </w:tcPr>
          <w:p w14:paraId="31ACF2AF" w14:textId="77777777" w:rsidR="008A702A" w:rsidRDefault="008A702A"/>
        </w:tc>
      </w:tr>
      <w:tr w:rsidR="008A702A" w14:paraId="0BF3F7AA" w14:textId="77777777">
        <w:tc>
          <w:tcPr>
            <w:tcW w:w="2592" w:type="dxa"/>
          </w:tcPr>
          <w:p w14:paraId="7E6FECE6" w14:textId="77777777" w:rsidR="008A702A" w:rsidRDefault="00000000">
            <w:r>
              <w:t>Monitoring control issues</w:t>
            </w:r>
          </w:p>
        </w:tc>
        <w:tc>
          <w:tcPr>
            <w:tcW w:w="3456" w:type="dxa"/>
          </w:tcPr>
          <w:p w14:paraId="26E02573" w14:textId="77777777" w:rsidR="008A702A" w:rsidRDefault="00000000">
            <w:r>
              <w:t>Scenario failure, system outage, vendor incident</w:t>
            </w:r>
          </w:p>
        </w:tc>
        <w:tc>
          <w:tcPr>
            <w:tcW w:w="2016" w:type="dxa"/>
          </w:tcPr>
          <w:p w14:paraId="000963DB" w14:textId="77777777" w:rsidR="008A702A" w:rsidRDefault="008A702A"/>
        </w:tc>
        <w:tc>
          <w:tcPr>
            <w:tcW w:w="1728" w:type="dxa"/>
          </w:tcPr>
          <w:p w14:paraId="03486915" w14:textId="77777777" w:rsidR="008A702A" w:rsidRDefault="008A702A"/>
        </w:tc>
      </w:tr>
      <w:tr w:rsidR="008A702A" w14:paraId="384F0651" w14:textId="77777777">
        <w:tc>
          <w:tcPr>
            <w:tcW w:w="2592" w:type="dxa"/>
          </w:tcPr>
          <w:p w14:paraId="2970FC43" w14:textId="77777777" w:rsidR="008A702A" w:rsidRDefault="00000000">
            <w:r>
              <w:t>Partner bank concern</w:t>
            </w:r>
          </w:p>
        </w:tc>
        <w:tc>
          <w:tcPr>
            <w:tcW w:w="3456" w:type="dxa"/>
          </w:tcPr>
          <w:p w14:paraId="6E8A4CE7" w14:textId="77777777" w:rsidR="008A702A" w:rsidRDefault="00000000">
            <w:r>
              <w:t>Request for explanation, heightened monitoring, remediation</w:t>
            </w:r>
          </w:p>
        </w:tc>
        <w:tc>
          <w:tcPr>
            <w:tcW w:w="2016" w:type="dxa"/>
          </w:tcPr>
          <w:p w14:paraId="4AB53B3E" w14:textId="77777777" w:rsidR="008A702A" w:rsidRDefault="008A702A"/>
        </w:tc>
        <w:tc>
          <w:tcPr>
            <w:tcW w:w="1728" w:type="dxa"/>
          </w:tcPr>
          <w:p w14:paraId="25AEA725" w14:textId="77777777" w:rsidR="008A702A" w:rsidRDefault="008A702A"/>
        </w:tc>
      </w:tr>
    </w:tbl>
    <w:p w14:paraId="4AB21D07" w14:textId="77777777" w:rsidR="008A702A" w:rsidRDefault="008A702A">
      <w:pPr>
        <w:pStyle w:val="HREBody"/>
      </w:pPr>
    </w:p>
    <w:p w14:paraId="2E1079F3" w14:textId="77777777" w:rsidR="008A702A" w:rsidRDefault="00000000">
      <w:pPr>
        <w:pStyle w:val="HREH2"/>
      </w:pPr>
      <w:r>
        <w:t>4B. Leadership Metrics Dashboard (starter set)</w:t>
      </w:r>
    </w:p>
    <w:p w14:paraId="4923220A" w14:textId="77777777" w:rsidR="008A702A" w:rsidRDefault="00000000">
      <w:pPr>
        <w:pStyle w:val="HREBody"/>
      </w:pPr>
      <w:r>
        <w:t>Use metrics that show risk and execution quality—not vanity numbers. Keep this to one page for leadership.</w:t>
      </w:r>
    </w:p>
    <w:tbl>
      <w:tblPr>
        <w:tblStyle w:val="TableGrid"/>
        <w:tblW w:w="0" w:type="auto"/>
        <w:tblLook w:val="04A0" w:firstRow="1" w:lastRow="0" w:firstColumn="1" w:lastColumn="0" w:noHBand="0" w:noVBand="1"/>
      </w:tblPr>
      <w:tblGrid>
        <w:gridCol w:w="2114"/>
        <w:gridCol w:w="3308"/>
        <w:gridCol w:w="1865"/>
        <w:gridCol w:w="1569"/>
      </w:tblGrid>
      <w:tr w:rsidR="008A702A" w14:paraId="46455E98" w14:textId="77777777">
        <w:tc>
          <w:tcPr>
            <w:tcW w:w="2304" w:type="dxa"/>
          </w:tcPr>
          <w:p w14:paraId="63DDAD67" w14:textId="77777777" w:rsidR="008A702A" w:rsidRDefault="00000000">
            <w:r>
              <w:t>Metric</w:t>
            </w:r>
          </w:p>
        </w:tc>
        <w:tc>
          <w:tcPr>
            <w:tcW w:w="3744" w:type="dxa"/>
          </w:tcPr>
          <w:p w14:paraId="4A52251B" w14:textId="77777777" w:rsidR="008A702A" w:rsidRDefault="00000000">
            <w:r>
              <w:t>What it tells you</w:t>
            </w:r>
          </w:p>
        </w:tc>
        <w:tc>
          <w:tcPr>
            <w:tcW w:w="2016" w:type="dxa"/>
          </w:tcPr>
          <w:p w14:paraId="4C664ABC" w14:textId="77777777" w:rsidR="008A702A" w:rsidRDefault="00000000">
            <w:r>
              <w:t>Target / Threshold</w:t>
            </w:r>
          </w:p>
        </w:tc>
        <w:tc>
          <w:tcPr>
            <w:tcW w:w="1728" w:type="dxa"/>
          </w:tcPr>
          <w:p w14:paraId="0B4DE48B" w14:textId="77777777" w:rsidR="008A702A" w:rsidRDefault="00000000">
            <w:r>
              <w:t>Owner</w:t>
            </w:r>
          </w:p>
        </w:tc>
      </w:tr>
      <w:tr w:rsidR="008A702A" w14:paraId="7D561C3F" w14:textId="77777777">
        <w:tc>
          <w:tcPr>
            <w:tcW w:w="2304" w:type="dxa"/>
          </w:tcPr>
          <w:p w14:paraId="6E4ACC9A" w14:textId="77777777" w:rsidR="008A702A" w:rsidRDefault="00000000">
            <w:r>
              <w:t>High-risk customers (% of base)</w:t>
            </w:r>
          </w:p>
        </w:tc>
        <w:tc>
          <w:tcPr>
            <w:tcW w:w="3744" w:type="dxa"/>
          </w:tcPr>
          <w:p w14:paraId="4698128D" w14:textId="77777777" w:rsidR="008A702A" w:rsidRDefault="00000000">
            <w:r>
              <w:t>Risk mix and growth in higher-risk segments</w:t>
            </w:r>
          </w:p>
        </w:tc>
        <w:tc>
          <w:tcPr>
            <w:tcW w:w="2016" w:type="dxa"/>
          </w:tcPr>
          <w:p w14:paraId="530C868F" w14:textId="77777777" w:rsidR="008A702A" w:rsidRDefault="008A702A"/>
        </w:tc>
        <w:tc>
          <w:tcPr>
            <w:tcW w:w="1728" w:type="dxa"/>
          </w:tcPr>
          <w:p w14:paraId="229305E6" w14:textId="77777777" w:rsidR="008A702A" w:rsidRDefault="008A702A"/>
        </w:tc>
      </w:tr>
      <w:tr w:rsidR="008A702A" w14:paraId="6A86F412" w14:textId="77777777">
        <w:tc>
          <w:tcPr>
            <w:tcW w:w="2304" w:type="dxa"/>
          </w:tcPr>
          <w:p w14:paraId="6B8698F7" w14:textId="77777777" w:rsidR="008A702A" w:rsidRDefault="00000000">
            <w:r>
              <w:t>Alerts generated vs cleared</w:t>
            </w:r>
          </w:p>
        </w:tc>
        <w:tc>
          <w:tcPr>
            <w:tcW w:w="3744" w:type="dxa"/>
          </w:tcPr>
          <w:p w14:paraId="25A73424" w14:textId="77777777" w:rsidR="008A702A" w:rsidRDefault="00000000">
            <w:r>
              <w:t>Workload and potential tuning issues</w:t>
            </w:r>
          </w:p>
        </w:tc>
        <w:tc>
          <w:tcPr>
            <w:tcW w:w="2016" w:type="dxa"/>
          </w:tcPr>
          <w:p w14:paraId="1A881F06" w14:textId="77777777" w:rsidR="008A702A" w:rsidRDefault="008A702A"/>
        </w:tc>
        <w:tc>
          <w:tcPr>
            <w:tcW w:w="1728" w:type="dxa"/>
          </w:tcPr>
          <w:p w14:paraId="731AE9C4" w14:textId="77777777" w:rsidR="008A702A" w:rsidRDefault="008A702A"/>
        </w:tc>
      </w:tr>
      <w:tr w:rsidR="008A702A" w14:paraId="69D3470C" w14:textId="77777777">
        <w:tc>
          <w:tcPr>
            <w:tcW w:w="2304" w:type="dxa"/>
          </w:tcPr>
          <w:p w14:paraId="564E37B8" w14:textId="77777777" w:rsidR="008A702A" w:rsidRDefault="00000000">
            <w:r>
              <w:t>SARs filed (monthly) + drivers</w:t>
            </w:r>
          </w:p>
        </w:tc>
        <w:tc>
          <w:tcPr>
            <w:tcW w:w="3744" w:type="dxa"/>
          </w:tcPr>
          <w:p w14:paraId="11BC7E3D" w14:textId="77777777" w:rsidR="008A702A" w:rsidRDefault="00000000">
            <w:r>
              <w:t>Reporting volume and typology trends</w:t>
            </w:r>
          </w:p>
        </w:tc>
        <w:tc>
          <w:tcPr>
            <w:tcW w:w="2016" w:type="dxa"/>
          </w:tcPr>
          <w:p w14:paraId="0743AF53" w14:textId="77777777" w:rsidR="008A702A" w:rsidRDefault="008A702A"/>
        </w:tc>
        <w:tc>
          <w:tcPr>
            <w:tcW w:w="1728" w:type="dxa"/>
          </w:tcPr>
          <w:p w14:paraId="4AA9A95E" w14:textId="77777777" w:rsidR="008A702A" w:rsidRDefault="008A702A"/>
        </w:tc>
      </w:tr>
      <w:tr w:rsidR="008A702A" w14:paraId="6F14D2A0" w14:textId="77777777">
        <w:tc>
          <w:tcPr>
            <w:tcW w:w="2304" w:type="dxa"/>
          </w:tcPr>
          <w:p w14:paraId="695997A2" w14:textId="77777777" w:rsidR="008A702A" w:rsidRDefault="00000000">
            <w:r>
              <w:t>Case aging (median / 90th percentile)</w:t>
            </w:r>
          </w:p>
        </w:tc>
        <w:tc>
          <w:tcPr>
            <w:tcW w:w="3744" w:type="dxa"/>
          </w:tcPr>
          <w:p w14:paraId="2D1B20DB" w14:textId="77777777" w:rsidR="008A702A" w:rsidRDefault="00000000">
            <w:r>
              <w:t>Backlog and timeliness risk</w:t>
            </w:r>
          </w:p>
        </w:tc>
        <w:tc>
          <w:tcPr>
            <w:tcW w:w="2016" w:type="dxa"/>
          </w:tcPr>
          <w:p w14:paraId="04C846D5" w14:textId="77777777" w:rsidR="008A702A" w:rsidRDefault="008A702A"/>
        </w:tc>
        <w:tc>
          <w:tcPr>
            <w:tcW w:w="1728" w:type="dxa"/>
          </w:tcPr>
          <w:p w14:paraId="1252019E" w14:textId="77777777" w:rsidR="008A702A" w:rsidRDefault="008A702A"/>
        </w:tc>
      </w:tr>
      <w:tr w:rsidR="008A702A" w14:paraId="3732F2AB" w14:textId="77777777">
        <w:tc>
          <w:tcPr>
            <w:tcW w:w="2304" w:type="dxa"/>
          </w:tcPr>
          <w:p w14:paraId="0CE1483A" w14:textId="77777777" w:rsidR="008A702A" w:rsidRDefault="00000000">
            <w:r>
              <w:t>Top 5 recurring issues</w:t>
            </w:r>
          </w:p>
        </w:tc>
        <w:tc>
          <w:tcPr>
            <w:tcW w:w="3744" w:type="dxa"/>
          </w:tcPr>
          <w:p w14:paraId="399C958A" w14:textId="77777777" w:rsidR="008A702A" w:rsidRDefault="00000000">
            <w:r>
              <w:t>Control weaknesses driving repeated findings</w:t>
            </w:r>
          </w:p>
        </w:tc>
        <w:tc>
          <w:tcPr>
            <w:tcW w:w="2016" w:type="dxa"/>
          </w:tcPr>
          <w:p w14:paraId="47219903" w14:textId="77777777" w:rsidR="008A702A" w:rsidRDefault="008A702A"/>
        </w:tc>
        <w:tc>
          <w:tcPr>
            <w:tcW w:w="1728" w:type="dxa"/>
          </w:tcPr>
          <w:p w14:paraId="6EF7E5AC" w14:textId="77777777" w:rsidR="008A702A" w:rsidRDefault="008A702A"/>
        </w:tc>
      </w:tr>
    </w:tbl>
    <w:p w14:paraId="38945546" w14:textId="77777777" w:rsidR="008A702A" w:rsidRDefault="008A702A">
      <w:pPr>
        <w:pStyle w:val="HREBody"/>
      </w:pPr>
    </w:p>
    <w:p w14:paraId="2D983F63" w14:textId="77777777" w:rsidR="008A702A" w:rsidRDefault="00000000">
      <w:pPr>
        <w:pStyle w:val="HRESmall"/>
      </w:pPr>
      <w:r>
        <w:t>Example chart: use this to visualize where you need to invest first.</w:t>
      </w:r>
    </w:p>
    <w:p w14:paraId="44C49474" w14:textId="77777777" w:rsidR="008A702A" w:rsidRDefault="00000000">
      <w:r>
        <w:rPr>
          <w:noProof/>
        </w:rPr>
        <w:lastRenderedPageBreak/>
        <w:drawing>
          <wp:inline distT="0" distB="0" distL="0" distR="0" wp14:anchorId="1B36405C" wp14:editId="0B4FC285">
            <wp:extent cx="5943600" cy="237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l_maturity_chart.png"/>
                    <pic:cNvPicPr/>
                  </pic:nvPicPr>
                  <pic:blipFill>
                    <a:blip r:embed="rId6"/>
                    <a:stretch>
                      <a:fillRect/>
                    </a:stretch>
                  </pic:blipFill>
                  <pic:spPr>
                    <a:xfrm>
                      <a:off x="0" y="0"/>
                      <a:ext cx="5943600" cy="2377440"/>
                    </a:xfrm>
                    <a:prstGeom prst="rect">
                      <a:avLst/>
                    </a:prstGeom>
                  </pic:spPr>
                </pic:pic>
              </a:graphicData>
            </a:graphic>
          </wp:inline>
        </w:drawing>
      </w:r>
    </w:p>
    <w:p w14:paraId="447FF7AA" w14:textId="77777777" w:rsidR="008A702A" w:rsidRDefault="008A702A">
      <w:pPr>
        <w:pStyle w:val="HREBody"/>
      </w:pPr>
    </w:p>
    <w:p w14:paraId="7C4D0035" w14:textId="77777777" w:rsidR="008A702A" w:rsidRDefault="00000000">
      <w:pPr>
        <w:pStyle w:val="HREH1"/>
      </w:pPr>
      <w:r>
        <w:t>Step 5 — Quality Assurance &amp; Testing Preparation</w:t>
      </w:r>
    </w:p>
    <w:p w14:paraId="310DEE16" w14:textId="77777777" w:rsidR="008A702A" w:rsidRDefault="00000000">
      <w:pPr>
        <w:pStyle w:val="HREBody"/>
      </w:pPr>
      <w:r>
        <w:t>You don’t need a large team to run QA. You need a repeatable review sample, clear criteria, and a way to log fixes. QA also becomes evidence during sponsor-bank reviews and independent testing.</w:t>
      </w:r>
    </w:p>
    <w:p w14:paraId="7E738D24" w14:textId="77777777" w:rsidR="008A702A" w:rsidRDefault="00000000">
      <w:pPr>
        <w:pStyle w:val="HREH2"/>
      </w:pPr>
      <w:r>
        <w:t>5A. Monthly QA sample plan (simple)</w:t>
      </w:r>
    </w:p>
    <w:tbl>
      <w:tblPr>
        <w:tblStyle w:val="TableGrid"/>
        <w:tblW w:w="0" w:type="auto"/>
        <w:tblLook w:val="04A0" w:firstRow="1" w:lastRow="0" w:firstColumn="1" w:lastColumn="0" w:noHBand="0" w:noVBand="1"/>
      </w:tblPr>
      <w:tblGrid>
        <w:gridCol w:w="2417"/>
        <w:gridCol w:w="1683"/>
        <w:gridCol w:w="2885"/>
        <w:gridCol w:w="1871"/>
      </w:tblGrid>
      <w:tr w:rsidR="008A702A" w14:paraId="6CECCBAE" w14:textId="77777777">
        <w:tc>
          <w:tcPr>
            <w:tcW w:w="2880" w:type="dxa"/>
          </w:tcPr>
          <w:p w14:paraId="31FAA566" w14:textId="77777777" w:rsidR="008A702A" w:rsidRDefault="00000000">
            <w:r>
              <w:t>Item</w:t>
            </w:r>
          </w:p>
        </w:tc>
        <w:tc>
          <w:tcPr>
            <w:tcW w:w="2016" w:type="dxa"/>
          </w:tcPr>
          <w:p w14:paraId="77A815B0" w14:textId="77777777" w:rsidR="008A702A" w:rsidRDefault="00000000">
            <w:r>
              <w:t>Sample size (start)</w:t>
            </w:r>
          </w:p>
        </w:tc>
        <w:tc>
          <w:tcPr>
            <w:tcW w:w="3456" w:type="dxa"/>
          </w:tcPr>
          <w:p w14:paraId="065506C3" w14:textId="77777777" w:rsidR="008A702A" w:rsidRDefault="00000000">
            <w:r>
              <w:t>QA checks</w:t>
            </w:r>
          </w:p>
        </w:tc>
        <w:tc>
          <w:tcPr>
            <w:tcW w:w="2304" w:type="dxa"/>
          </w:tcPr>
          <w:p w14:paraId="06F12A34" w14:textId="77777777" w:rsidR="008A702A" w:rsidRDefault="00000000">
            <w:r>
              <w:t>Where you log results</w:t>
            </w:r>
          </w:p>
        </w:tc>
      </w:tr>
      <w:tr w:rsidR="008A702A" w14:paraId="6750DB1A" w14:textId="77777777">
        <w:tc>
          <w:tcPr>
            <w:tcW w:w="2880" w:type="dxa"/>
          </w:tcPr>
          <w:p w14:paraId="534EB44B" w14:textId="77777777" w:rsidR="008A702A" w:rsidRDefault="00000000">
            <w:r>
              <w:t>Onboarding / EDD files</w:t>
            </w:r>
          </w:p>
        </w:tc>
        <w:tc>
          <w:tcPr>
            <w:tcW w:w="2016" w:type="dxa"/>
          </w:tcPr>
          <w:p w14:paraId="0D67723F" w14:textId="77777777" w:rsidR="008A702A" w:rsidRDefault="00000000">
            <w:r>
              <w:t>5–10</w:t>
            </w:r>
          </w:p>
        </w:tc>
        <w:tc>
          <w:tcPr>
            <w:tcW w:w="3456" w:type="dxa"/>
          </w:tcPr>
          <w:p w14:paraId="54969BEC" w14:textId="77777777" w:rsidR="008A702A" w:rsidRDefault="00000000">
            <w:r>
              <w:t>Risk rating rationale, EDD completeness, approvals</w:t>
            </w:r>
          </w:p>
        </w:tc>
        <w:tc>
          <w:tcPr>
            <w:tcW w:w="2304" w:type="dxa"/>
          </w:tcPr>
          <w:p w14:paraId="30E8A00D" w14:textId="77777777" w:rsidR="008A702A" w:rsidRDefault="008A702A"/>
        </w:tc>
      </w:tr>
      <w:tr w:rsidR="008A702A" w14:paraId="65CDD11D" w14:textId="77777777">
        <w:tc>
          <w:tcPr>
            <w:tcW w:w="2880" w:type="dxa"/>
          </w:tcPr>
          <w:p w14:paraId="23F2601F" w14:textId="77777777" w:rsidR="008A702A" w:rsidRDefault="00000000">
            <w:r>
              <w:t>Monitoring alerts</w:t>
            </w:r>
          </w:p>
        </w:tc>
        <w:tc>
          <w:tcPr>
            <w:tcW w:w="2016" w:type="dxa"/>
          </w:tcPr>
          <w:p w14:paraId="245E396A" w14:textId="77777777" w:rsidR="008A702A" w:rsidRDefault="00000000">
            <w:r>
              <w:t>10–20</w:t>
            </w:r>
          </w:p>
        </w:tc>
        <w:tc>
          <w:tcPr>
            <w:tcW w:w="3456" w:type="dxa"/>
          </w:tcPr>
          <w:p w14:paraId="4DCD5B2B" w14:textId="77777777" w:rsidR="008A702A" w:rsidRDefault="00000000">
            <w:r>
              <w:t>Decision rationale, completeness, timeliness</w:t>
            </w:r>
          </w:p>
        </w:tc>
        <w:tc>
          <w:tcPr>
            <w:tcW w:w="2304" w:type="dxa"/>
          </w:tcPr>
          <w:p w14:paraId="5A2F5B48" w14:textId="77777777" w:rsidR="008A702A" w:rsidRDefault="008A702A"/>
        </w:tc>
      </w:tr>
      <w:tr w:rsidR="008A702A" w14:paraId="4524FF78" w14:textId="77777777">
        <w:tc>
          <w:tcPr>
            <w:tcW w:w="2880" w:type="dxa"/>
          </w:tcPr>
          <w:p w14:paraId="23DC3E52" w14:textId="77777777" w:rsidR="008A702A" w:rsidRDefault="00000000">
            <w:r>
              <w:t>SAR narratives</w:t>
            </w:r>
          </w:p>
        </w:tc>
        <w:tc>
          <w:tcPr>
            <w:tcW w:w="2016" w:type="dxa"/>
          </w:tcPr>
          <w:p w14:paraId="534FA222" w14:textId="77777777" w:rsidR="008A702A" w:rsidRDefault="00000000">
            <w:r>
              <w:t>5</w:t>
            </w:r>
          </w:p>
        </w:tc>
        <w:tc>
          <w:tcPr>
            <w:tcW w:w="3456" w:type="dxa"/>
          </w:tcPr>
          <w:p w14:paraId="310BE418" w14:textId="77777777" w:rsidR="008A702A" w:rsidRDefault="00000000">
            <w:r>
              <w:t>Clarity, consistency, fields completed, decision support</w:t>
            </w:r>
          </w:p>
        </w:tc>
        <w:tc>
          <w:tcPr>
            <w:tcW w:w="2304" w:type="dxa"/>
          </w:tcPr>
          <w:p w14:paraId="303A3C38" w14:textId="77777777" w:rsidR="008A702A" w:rsidRDefault="008A702A"/>
        </w:tc>
      </w:tr>
    </w:tbl>
    <w:p w14:paraId="3769713E" w14:textId="77777777" w:rsidR="008A702A" w:rsidRDefault="008A702A">
      <w:pPr>
        <w:pStyle w:val="HREBody"/>
      </w:pPr>
    </w:p>
    <w:p w14:paraId="632A1869" w14:textId="77777777" w:rsidR="008A702A" w:rsidRDefault="00000000">
      <w:pPr>
        <w:pStyle w:val="HREH2"/>
      </w:pPr>
      <w:r>
        <w:t>5B. Issues log (what to capture)</w:t>
      </w:r>
    </w:p>
    <w:p w14:paraId="60F75985" w14:textId="77777777" w:rsidR="008A702A" w:rsidRDefault="00000000">
      <w:pPr>
        <w:pStyle w:val="ListBullet"/>
        <w:spacing w:after="40"/>
      </w:pPr>
      <w:r>
        <w:t>Issue description and category (CDD, monitoring, SAR, vendor, governance).</w:t>
      </w:r>
    </w:p>
    <w:p w14:paraId="0C323A4E" w14:textId="77777777" w:rsidR="008A702A" w:rsidRDefault="00000000">
      <w:pPr>
        <w:pStyle w:val="ListBullet"/>
        <w:spacing w:after="40"/>
      </w:pPr>
      <w:r>
        <w:t>Root cause (training gap, system limitation, unclear standard, staffing).</w:t>
      </w:r>
    </w:p>
    <w:p w14:paraId="7DF386E4" w14:textId="77777777" w:rsidR="008A702A" w:rsidRDefault="00000000">
      <w:pPr>
        <w:pStyle w:val="ListBullet"/>
        <w:spacing w:after="40"/>
      </w:pPr>
      <w:r>
        <w:t>Remediation owner and due date.</w:t>
      </w:r>
    </w:p>
    <w:p w14:paraId="028AE0C1" w14:textId="77777777" w:rsidR="008A702A" w:rsidRDefault="00000000">
      <w:pPr>
        <w:pStyle w:val="ListBullet"/>
        <w:spacing w:after="40"/>
      </w:pPr>
      <w:r>
        <w:t>Evidence of completion (screenshots, updated policy, updated threshold rationale).</w:t>
      </w:r>
    </w:p>
    <w:p w14:paraId="24DCEC69" w14:textId="77777777" w:rsidR="008A702A" w:rsidRDefault="00000000">
      <w:pPr>
        <w:pStyle w:val="ListBullet"/>
        <w:spacing w:after="40"/>
      </w:pPr>
      <w:r>
        <w:t>Status and management sign-off.</w:t>
      </w:r>
    </w:p>
    <w:p w14:paraId="11E73352" w14:textId="77777777" w:rsidR="00BC5EC6" w:rsidRDefault="00BC5EC6">
      <w:pPr>
        <w:pStyle w:val="HREH1"/>
      </w:pPr>
    </w:p>
    <w:p w14:paraId="78C3C9E2" w14:textId="77777777" w:rsidR="00BC5EC6" w:rsidRDefault="00BC5EC6">
      <w:pPr>
        <w:pStyle w:val="HREH1"/>
      </w:pPr>
    </w:p>
    <w:p w14:paraId="4A6636A3" w14:textId="6DA89E0A" w:rsidR="008A702A" w:rsidRDefault="00000000">
      <w:pPr>
        <w:pStyle w:val="HREH1"/>
      </w:pPr>
      <w:r>
        <w:lastRenderedPageBreak/>
        <w:t>Step 6 — 30-Day AML Strengthening Action Plan</w:t>
      </w:r>
    </w:p>
    <w:p w14:paraId="4E4AE86D" w14:textId="77777777" w:rsidR="008A702A" w:rsidRDefault="00000000">
      <w:pPr>
        <w:pStyle w:val="HREBody"/>
      </w:pPr>
      <w:r>
        <w:t>Use this plan if you need momentum quickly. Adjust weeks based on your staffing and partner expectations.</w:t>
      </w:r>
    </w:p>
    <w:p w14:paraId="2AC375F1" w14:textId="77777777" w:rsidR="008A702A" w:rsidRDefault="00000000">
      <w:pPr>
        <w:pStyle w:val="HREH2"/>
      </w:pPr>
      <w:r>
        <w:t>Week-by-week plan</w:t>
      </w:r>
    </w:p>
    <w:tbl>
      <w:tblPr>
        <w:tblStyle w:val="TableGrid"/>
        <w:tblW w:w="0" w:type="auto"/>
        <w:tblLook w:val="04A0" w:firstRow="1" w:lastRow="0" w:firstColumn="1" w:lastColumn="0" w:noHBand="0" w:noVBand="1"/>
      </w:tblPr>
      <w:tblGrid>
        <w:gridCol w:w="1190"/>
        <w:gridCol w:w="1994"/>
        <w:gridCol w:w="3662"/>
        <w:gridCol w:w="2010"/>
      </w:tblGrid>
      <w:tr w:rsidR="008A702A" w14:paraId="762A8D8F" w14:textId="77777777">
        <w:tc>
          <w:tcPr>
            <w:tcW w:w="1296" w:type="dxa"/>
          </w:tcPr>
          <w:p w14:paraId="279057F3" w14:textId="77777777" w:rsidR="008A702A" w:rsidRDefault="00000000">
            <w:r>
              <w:t>Week</w:t>
            </w:r>
          </w:p>
        </w:tc>
        <w:tc>
          <w:tcPr>
            <w:tcW w:w="2160" w:type="dxa"/>
          </w:tcPr>
          <w:p w14:paraId="678ABDFF" w14:textId="77777777" w:rsidR="008A702A" w:rsidRDefault="00000000">
            <w:r>
              <w:t>Focus</w:t>
            </w:r>
          </w:p>
        </w:tc>
        <w:tc>
          <w:tcPr>
            <w:tcW w:w="4032" w:type="dxa"/>
          </w:tcPr>
          <w:p w14:paraId="50A7CCBB" w14:textId="77777777" w:rsidR="008A702A" w:rsidRDefault="00000000">
            <w:r>
              <w:t>Actions (assign owners)</w:t>
            </w:r>
          </w:p>
        </w:tc>
        <w:tc>
          <w:tcPr>
            <w:tcW w:w="2160" w:type="dxa"/>
          </w:tcPr>
          <w:p w14:paraId="50660DC1" w14:textId="77777777" w:rsidR="008A702A" w:rsidRDefault="00000000">
            <w:r>
              <w:t>Deliverables / Evidence</w:t>
            </w:r>
          </w:p>
        </w:tc>
      </w:tr>
      <w:tr w:rsidR="008A702A" w14:paraId="5EF7F3ED" w14:textId="77777777">
        <w:tc>
          <w:tcPr>
            <w:tcW w:w="1296" w:type="dxa"/>
          </w:tcPr>
          <w:p w14:paraId="5985AF18" w14:textId="77777777" w:rsidR="008A702A" w:rsidRDefault="00000000">
            <w:r>
              <w:t>Week 1</w:t>
            </w:r>
          </w:p>
        </w:tc>
        <w:tc>
          <w:tcPr>
            <w:tcW w:w="2160" w:type="dxa"/>
          </w:tcPr>
          <w:p w14:paraId="789B0734" w14:textId="77777777" w:rsidR="008A702A" w:rsidRDefault="00000000">
            <w:r>
              <w:t>Scope + ownership</w:t>
            </w:r>
          </w:p>
        </w:tc>
        <w:tc>
          <w:tcPr>
            <w:tcW w:w="4032" w:type="dxa"/>
          </w:tcPr>
          <w:p w14:paraId="6E704DC6" w14:textId="77777777" w:rsidR="008A702A" w:rsidRDefault="00000000">
            <w:r>
              <w:t>Complete Program Snapshot; finalize RACI; set escalation triggers.</w:t>
            </w:r>
          </w:p>
        </w:tc>
        <w:tc>
          <w:tcPr>
            <w:tcW w:w="2160" w:type="dxa"/>
          </w:tcPr>
          <w:p w14:paraId="656496BE" w14:textId="77777777" w:rsidR="008A702A" w:rsidRDefault="00000000">
            <w:r>
              <w:t>Snapshot + RACI + escalation table</w:t>
            </w:r>
          </w:p>
        </w:tc>
      </w:tr>
      <w:tr w:rsidR="008A702A" w14:paraId="3452EDD1" w14:textId="77777777">
        <w:tc>
          <w:tcPr>
            <w:tcW w:w="1296" w:type="dxa"/>
          </w:tcPr>
          <w:p w14:paraId="6955C36E" w14:textId="77777777" w:rsidR="008A702A" w:rsidRDefault="00000000">
            <w:r>
              <w:t>Week 2</w:t>
            </w:r>
          </w:p>
        </w:tc>
        <w:tc>
          <w:tcPr>
            <w:tcW w:w="2160" w:type="dxa"/>
          </w:tcPr>
          <w:p w14:paraId="1A37483A" w14:textId="77777777" w:rsidR="008A702A" w:rsidRDefault="00000000">
            <w:r>
              <w:t>CDD/EDD standards</w:t>
            </w:r>
          </w:p>
        </w:tc>
        <w:tc>
          <w:tcPr>
            <w:tcW w:w="4032" w:type="dxa"/>
          </w:tcPr>
          <w:p w14:paraId="55DA96CF" w14:textId="77777777" w:rsidR="008A702A" w:rsidRDefault="00000000">
            <w:r>
              <w:t>Write onboarding/EDD standards; define approvals; align with partner bank.</w:t>
            </w:r>
          </w:p>
        </w:tc>
        <w:tc>
          <w:tcPr>
            <w:tcW w:w="2160" w:type="dxa"/>
          </w:tcPr>
          <w:p w14:paraId="3DD876D0" w14:textId="77777777" w:rsidR="008A702A" w:rsidRDefault="00000000">
            <w:r>
              <w:t>CDD/EDD standard + checklist</w:t>
            </w:r>
          </w:p>
        </w:tc>
      </w:tr>
      <w:tr w:rsidR="008A702A" w14:paraId="33A0735B" w14:textId="77777777">
        <w:tc>
          <w:tcPr>
            <w:tcW w:w="1296" w:type="dxa"/>
          </w:tcPr>
          <w:p w14:paraId="6C7A461C" w14:textId="77777777" w:rsidR="008A702A" w:rsidRDefault="00000000">
            <w:r>
              <w:t>Week 3</w:t>
            </w:r>
          </w:p>
        </w:tc>
        <w:tc>
          <w:tcPr>
            <w:tcW w:w="2160" w:type="dxa"/>
          </w:tcPr>
          <w:p w14:paraId="29E0A28C" w14:textId="77777777" w:rsidR="008A702A" w:rsidRDefault="00000000">
            <w:r>
              <w:t>Monitoring governance</w:t>
            </w:r>
          </w:p>
        </w:tc>
        <w:tc>
          <w:tcPr>
            <w:tcW w:w="4032" w:type="dxa"/>
          </w:tcPr>
          <w:p w14:paraId="29C8B0CC" w14:textId="77777777" w:rsidR="008A702A" w:rsidRDefault="00000000">
            <w:r>
              <w:t>Document scenarios/threshold rationale; define change control; start QA sampling.</w:t>
            </w:r>
          </w:p>
        </w:tc>
        <w:tc>
          <w:tcPr>
            <w:tcW w:w="2160" w:type="dxa"/>
          </w:tcPr>
          <w:p w14:paraId="13335715" w14:textId="77777777" w:rsidR="008A702A" w:rsidRDefault="00000000">
            <w:r>
              <w:t>TM governance doc + tuning log template</w:t>
            </w:r>
          </w:p>
        </w:tc>
      </w:tr>
      <w:tr w:rsidR="008A702A" w14:paraId="6F86A8EF" w14:textId="77777777">
        <w:tc>
          <w:tcPr>
            <w:tcW w:w="1296" w:type="dxa"/>
          </w:tcPr>
          <w:p w14:paraId="2D7642C6" w14:textId="77777777" w:rsidR="008A702A" w:rsidRDefault="00000000">
            <w:r>
              <w:t>Week 4</w:t>
            </w:r>
          </w:p>
        </w:tc>
        <w:tc>
          <w:tcPr>
            <w:tcW w:w="2160" w:type="dxa"/>
          </w:tcPr>
          <w:p w14:paraId="2CEC822B" w14:textId="77777777" w:rsidR="008A702A" w:rsidRDefault="00000000">
            <w:r>
              <w:t>SAR governance + reporting</w:t>
            </w:r>
          </w:p>
        </w:tc>
        <w:tc>
          <w:tcPr>
            <w:tcW w:w="4032" w:type="dxa"/>
          </w:tcPr>
          <w:p w14:paraId="084A761B" w14:textId="77777777" w:rsidR="008A702A" w:rsidRDefault="00000000">
            <w:r>
              <w:t>Finalize file vs monitor framework; implement metrics dashboard; executive review.</w:t>
            </w:r>
          </w:p>
        </w:tc>
        <w:tc>
          <w:tcPr>
            <w:tcW w:w="2160" w:type="dxa"/>
          </w:tcPr>
          <w:p w14:paraId="2BA18C0D" w14:textId="77777777" w:rsidR="008A702A" w:rsidRDefault="00000000">
            <w:r>
              <w:t>SAR decisioning doc + dashboard</w:t>
            </w:r>
          </w:p>
        </w:tc>
      </w:tr>
    </w:tbl>
    <w:p w14:paraId="1C0BCD57" w14:textId="77777777" w:rsidR="008A702A" w:rsidRDefault="008A702A">
      <w:pPr>
        <w:pStyle w:val="HREBody"/>
      </w:pPr>
    </w:p>
    <w:p w14:paraId="446A767F" w14:textId="77777777" w:rsidR="00BC5EC6" w:rsidRDefault="00BC5EC6">
      <w:pPr>
        <w:rPr>
          <w:rFonts w:ascii="Calibri" w:eastAsia="Calibri" w:hAnsi="Calibri"/>
          <w:b/>
          <w:sz w:val="36"/>
        </w:rPr>
      </w:pPr>
      <w:r>
        <w:br w:type="page"/>
      </w:r>
    </w:p>
    <w:p w14:paraId="0BD14778" w14:textId="5411BDB6" w:rsidR="008A702A" w:rsidRDefault="00000000">
      <w:pPr>
        <w:pStyle w:val="HREH1"/>
      </w:pPr>
      <w:r>
        <w:lastRenderedPageBreak/>
        <w:t>Appendix</w:t>
      </w:r>
    </w:p>
    <w:p w14:paraId="76AF774B" w14:textId="77777777" w:rsidR="008A702A" w:rsidRDefault="00000000">
      <w:pPr>
        <w:pStyle w:val="HREH2"/>
      </w:pPr>
      <w:r>
        <w:t>A1. Monitoring Threshold Change Log</w:t>
      </w:r>
    </w:p>
    <w:tbl>
      <w:tblPr>
        <w:tblStyle w:val="TableGrid"/>
        <w:tblW w:w="0" w:type="auto"/>
        <w:tblLook w:val="04A0" w:firstRow="1" w:lastRow="0" w:firstColumn="1" w:lastColumn="0" w:noHBand="0" w:noVBand="1"/>
      </w:tblPr>
      <w:tblGrid>
        <w:gridCol w:w="967"/>
        <w:gridCol w:w="2431"/>
        <w:gridCol w:w="1424"/>
        <w:gridCol w:w="1321"/>
        <w:gridCol w:w="1662"/>
        <w:gridCol w:w="1051"/>
      </w:tblGrid>
      <w:tr w:rsidR="008A702A" w14:paraId="172303A3" w14:textId="77777777">
        <w:tc>
          <w:tcPr>
            <w:tcW w:w="1152" w:type="dxa"/>
          </w:tcPr>
          <w:p w14:paraId="44807AFF" w14:textId="77777777" w:rsidR="008A702A" w:rsidRDefault="00000000">
            <w:r>
              <w:t>Date</w:t>
            </w:r>
          </w:p>
        </w:tc>
        <w:tc>
          <w:tcPr>
            <w:tcW w:w="3168" w:type="dxa"/>
          </w:tcPr>
          <w:p w14:paraId="0FFB6121" w14:textId="77777777" w:rsidR="008A702A" w:rsidRDefault="00000000">
            <w:r>
              <w:t>Change requested</w:t>
            </w:r>
          </w:p>
        </w:tc>
        <w:tc>
          <w:tcPr>
            <w:tcW w:w="1728" w:type="dxa"/>
          </w:tcPr>
          <w:p w14:paraId="39C9F652" w14:textId="77777777" w:rsidR="008A702A" w:rsidRDefault="00000000">
            <w:r>
              <w:t>Reason</w:t>
            </w:r>
          </w:p>
        </w:tc>
        <w:tc>
          <w:tcPr>
            <w:tcW w:w="1440" w:type="dxa"/>
          </w:tcPr>
          <w:p w14:paraId="13FB7EA2" w14:textId="77777777" w:rsidR="008A702A" w:rsidRDefault="00000000">
            <w:r>
              <w:t>Approver</w:t>
            </w:r>
          </w:p>
        </w:tc>
        <w:tc>
          <w:tcPr>
            <w:tcW w:w="2016" w:type="dxa"/>
          </w:tcPr>
          <w:p w14:paraId="3235D456" w14:textId="77777777" w:rsidR="008A702A" w:rsidRDefault="00000000">
            <w:r>
              <w:t>Test evidence saved (Y/N)</w:t>
            </w:r>
          </w:p>
        </w:tc>
        <w:tc>
          <w:tcPr>
            <w:tcW w:w="1296" w:type="dxa"/>
          </w:tcPr>
          <w:p w14:paraId="561FA5A8" w14:textId="77777777" w:rsidR="008A702A" w:rsidRDefault="00000000">
            <w:r>
              <w:t>Go-live date</w:t>
            </w:r>
          </w:p>
        </w:tc>
      </w:tr>
      <w:tr w:rsidR="008A702A" w14:paraId="396C4093" w14:textId="77777777">
        <w:tc>
          <w:tcPr>
            <w:tcW w:w="1152" w:type="dxa"/>
          </w:tcPr>
          <w:p w14:paraId="354F4361" w14:textId="77777777" w:rsidR="008A702A" w:rsidRDefault="008A702A"/>
        </w:tc>
        <w:tc>
          <w:tcPr>
            <w:tcW w:w="3168" w:type="dxa"/>
          </w:tcPr>
          <w:p w14:paraId="3CD8BECC" w14:textId="77777777" w:rsidR="008A702A" w:rsidRDefault="008A702A"/>
        </w:tc>
        <w:tc>
          <w:tcPr>
            <w:tcW w:w="1728" w:type="dxa"/>
          </w:tcPr>
          <w:p w14:paraId="621C7ACA" w14:textId="77777777" w:rsidR="008A702A" w:rsidRDefault="008A702A"/>
        </w:tc>
        <w:tc>
          <w:tcPr>
            <w:tcW w:w="1440" w:type="dxa"/>
          </w:tcPr>
          <w:p w14:paraId="799F79AF" w14:textId="77777777" w:rsidR="008A702A" w:rsidRDefault="008A702A"/>
        </w:tc>
        <w:tc>
          <w:tcPr>
            <w:tcW w:w="2016" w:type="dxa"/>
          </w:tcPr>
          <w:p w14:paraId="760C3AC3" w14:textId="77777777" w:rsidR="008A702A" w:rsidRDefault="008A702A"/>
        </w:tc>
        <w:tc>
          <w:tcPr>
            <w:tcW w:w="1296" w:type="dxa"/>
          </w:tcPr>
          <w:p w14:paraId="4E374559" w14:textId="77777777" w:rsidR="008A702A" w:rsidRDefault="008A702A"/>
        </w:tc>
      </w:tr>
      <w:tr w:rsidR="008A702A" w14:paraId="4170B2A1" w14:textId="77777777">
        <w:tc>
          <w:tcPr>
            <w:tcW w:w="1152" w:type="dxa"/>
          </w:tcPr>
          <w:p w14:paraId="08F607B2" w14:textId="77777777" w:rsidR="008A702A" w:rsidRDefault="008A702A"/>
        </w:tc>
        <w:tc>
          <w:tcPr>
            <w:tcW w:w="3168" w:type="dxa"/>
          </w:tcPr>
          <w:p w14:paraId="6191E54B" w14:textId="77777777" w:rsidR="008A702A" w:rsidRDefault="008A702A"/>
        </w:tc>
        <w:tc>
          <w:tcPr>
            <w:tcW w:w="1728" w:type="dxa"/>
          </w:tcPr>
          <w:p w14:paraId="35165FD7" w14:textId="77777777" w:rsidR="008A702A" w:rsidRDefault="008A702A"/>
        </w:tc>
        <w:tc>
          <w:tcPr>
            <w:tcW w:w="1440" w:type="dxa"/>
          </w:tcPr>
          <w:p w14:paraId="36677CAB" w14:textId="77777777" w:rsidR="008A702A" w:rsidRDefault="008A702A"/>
        </w:tc>
        <w:tc>
          <w:tcPr>
            <w:tcW w:w="2016" w:type="dxa"/>
          </w:tcPr>
          <w:p w14:paraId="3B26837D" w14:textId="77777777" w:rsidR="008A702A" w:rsidRDefault="008A702A"/>
        </w:tc>
        <w:tc>
          <w:tcPr>
            <w:tcW w:w="1296" w:type="dxa"/>
          </w:tcPr>
          <w:p w14:paraId="4F8F244E" w14:textId="77777777" w:rsidR="008A702A" w:rsidRDefault="008A702A"/>
        </w:tc>
      </w:tr>
      <w:tr w:rsidR="008A702A" w14:paraId="5034891B" w14:textId="77777777">
        <w:tc>
          <w:tcPr>
            <w:tcW w:w="1152" w:type="dxa"/>
          </w:tcPr>
          <w:p w14:paraId="1B81B2B7" w14:textId="77777777" w:rsidR="008A702A" w:rsidRDefault="008A702A"/>
        </w:tc>
        <w:tc>
          <w:tcPr>
            <w:tcW w:w="3168" w:type="dxa"/>
          </w:tcPr>
          <w:p w14:paraId="59B1E35B" w14:textId="77777777" w:rsidR="008A702A" w:rsidRDefault="008A702A"/>
        </w:tc>
        <w:tc>
          <w:tcPr>
            <w:tcW w:w="1728" w:type="dxa"/>
          </w:tcPr>
          <w:p w14:paraId="186C01D6" w14:textId="77777777" w:rsidR="008A702A" w:rsidRDefault="008A702A"/>
        </w:tc>
        <w:tc>
          <w:tcPr>
            <w:tcW w:w="1440" w:type="dxa"/>
          </w:tcPr>
          <w:p w14:paraId="028F382D" w14:textId="77777777" w:rsidR="008A702A" w:rsidRDefault="008A702A"/>
        </w:tc>
        <w:tc>
          <w:tcPr>
            <w:tcW w:w="2016" w:type="dxa"/>
          </w:tcPr>
          <w:p w14:paraId="4B6ACA1F" w14:textId="77777777" w:rsidR="008A702A" w:rsidRDefault="008A702A"/>
        </w:tc>
        <w:tc>
          <w:tcPr>
            <w:tcW w:w="1296" w:type="dxa"/>
          </w:tcPr>
          <w:p w14:paraId="5AD8F4CF" w14:textId="77777777" w:rsidR="008A702A" w:rsidRDefault="008A702A"/>
        </w:tc>
      </w:tr>
      <w:tr w:rsidR="008A702A" w14:paraId="73377417" w14:textId="77777777">
        <w:tc>
          <w:tcPr>
            <w:tcW w:w="1152" w:type="dxa"/>
          </w:tcPr>
          <w:p w14:paraId="0A7CBDD5" w14:textId="77777777" w:rsidR="008A702A" w:rsidRDefault="008A702A"/>
        </w:tc>
        <w:tc>
          <w:tcPr>
            <w:tcW w:w="3168" w:type="dxa"/>
          </w:tcPr>
          <w:p w14:paraId="6E8B52DE" w14:textId="77777777" w:rsidR="008A702A" w:rsidRDefault="008A702A"/>
        </w:tc>
        <w:tc>
          <w:tcPr>
            <w:tcW w:w="1728" w:type="dxa"/>
          </w:tcPr>
          <w:p w14:paraId="71F6FB38" w14:textId="77777777" w:rsidR="008A702A" w:rsidRDefault="008A702A"/>
        </w:tc>
        <w:tc>
          <w:tcPr>
            <w:tcW w:w="1440" w:type="dxa"/>
          </w:tcPr>
          <w:p w14:paraId="2B1074D4" w14:textId="77777777" w:rsidR="008A702A" w:rsidRDefault="008A702A"/>
        </w:tc>
        <w:tc>
          <w:tcPr>
            <w:tcW w:w="2016" w:type="dxa"/>
          </w:tcPr>
          <w:p w14:paraId="315EA8A2" w14:textId="77777777" w:rsidR="008A702A" w:rsidRDefault="008A702A"/>
        </w:tc>
        <w:tc>
          <w:tcPr>
            <w:tcW w:w="1296" w:type="dxa"/>
          </w:tcPr>
          <w:p w14:paraId="17780A7F" w14:textId="77777777" w:rsidR="008A702A" w:rsidRDefault="008A702A"/>
        </w:tc>
      </w:tr>
      <w:tr w:rsidR="008A702A" w14:paraId="5E097907" w14:textId="77777777">
        <w:tc>
          <w:tcPr>
            <w:tcW w:w="1152" w:type="dxa"/>
          </w:tcPr>
          <w:p w14:paraId="316D7AE9" w14:textId="77777777" w:rsidR="008A702A" w:rsidRDefault="008A702A"/>
        </w:tc>
        <w:tc>
          <w:tcPr>
            <w:tcW w:w="3168" w:type="dxa"/>
          </w:tcPr>
          <w:p w14:paraId="50110D7E" w14:textId="77777777" w:rsidR="008A702A" w:rsidRDefault="008A702A"/>
        </w:tc>
        <w:tc>
          <w:tcPr>
            <w:tcW w:w="1728" w:type="dxa"/>
          </w:tcPr>
          <w:p w14:paraId="393F743D" w14:textId="77777777" w:rsidR="008A702A" w:rsidRDefault="008A702A"/>
        </w:tc>
        <w:tc>
          <w:tcPr>
            <w:tcW w:w="1440" w:type="dxa"/>
          </w:tcPr>
          <w:p w14:paraId="525B1D5A" w14:textId="77777777" w:rsidR="008A702A" w:rsidRDefault="008A702A"/>
        </w:tc>
        <w:tc>
          <w:tcPr>
            <w:tcW w:w="2016" w:type="dxa"/>
          </w:tcPr>
          <w:p w14:paraId="0C81F3B2" w14:textId="77777777" w:rsidR="008A702A" w:rsidRDefault="008A702A"/>
        </w:tc>
        <w:tc>
          <w:tcPr>
            <w:tcW w:w="1296" w:type="dxa"/>
          </w:tcPr>
          <w:p w14:paraId="706E99A6" w14:textId="77777777" w:rsidR="008A702A" w:rsidRDefault="008A702A"/>
        </w:tc>
      </w:tr>
      <w:tr w:rsidR="008A702A" w14:paraId="4D042EC4" w14:textId="77777777">
        <w:tc>
          <w:tcPr>
            <w:tcW w:w="1152" w:type="dxa"/>
          </w:tcPr>
          <w:p w14:paraId="2C74E7F9" w14:textId="77777777" w:rsidR="008A702A" w:rsidRDefault="008A702A"/>
        </w:tc>
        <w:tc>
          <w:tcPr>
            <w:tcW w:w="3168" w:type="dxa"/>
          </w:tcPr>
          <w:p w14:paraId="1BF3FA8D" w14:textId="77777777" w:rsidR="008A702A" w:rsidRDefault="008A702A"/>
        </w:tc>
        <w:tc>
          <w:tcPr>
            <w:tcW w:w="1728" w:type="dxa"/>
          </w:tcPr>
          <w:p w14:paraId="79DFA473" w14:textId="77777777" w:rsidR="008A702A" w:rsidRDefault="008A702A"/>
        </w:tc>
        <w:tc>
          <w:tcPr>
            <w:tcW w:w="1440" w:type="dxa"/>
          </w:tcPr>
          <w:p w14:paraId="13B4B695" w14:textId="77777777" w:rsidR="008A702A" w:rsidRDefault="008A702A"/>
        </w:tc>
        <w:tc>
          <w:tcPr>
            <w:tcW w:w="2016" w:type="dxa"/>
          </w:tcPr>
          <w:p w14:paraId="16CD2DB3" w14:textId="77777777" w:rsidR="008A702A" w:rsidRDefault="008A702A"/>
        </w:tc>
        <w:tc>
          <w:tcPr>
            <w:tcW w:w="1296" w:type="dxa"/>
          </w:tcPr>
          <w:p w14:paraId="585EEF03" w14:textId="77777777" w:rsidR="008A702A" w:rsidRDefault="008A702A"/>
        </w:tc>
      </w:tr>
    </w:tbl>
    <w:p w14:paraId="3482E587" w14:textId="77777777" w:rsidR="008A702A" w:rsidRDefault="008A702A">
      <w:pPr>
        <w:pStyle w:val="HREBody"/>
      </w:pPr>
    </w:p>
    <w:p w14:paraId="1CAC3B18" w14:textId="77777777" w:rsidR="008A702A" w:rsidRDefault="00000000">
      <w:pPr>
        <w:pStyle w:val="HREH2"/>
      </w:pPr>
      <w:r>
        <w:t>A2. SAR Decisioning Checklist (per case)</w:t>
      </w:r>
    </w:p>
    <w:p w14:paraId="1663D366" w14:textId="77777777" w:rsidR="008A702A" w:rsidRDefault="00000000">
      <w:pPr>
        <w:pStyle w:val="ListBullet"/>
        <w:spacing w:after="40"/>
      </w:pPr>
      <w:r>
        <w:t>Describe the activity and why it is unusual for the customer.</w:t>
      </w:r>
    </w:p>
    <w:p w14:paraId="0EB1B511" w14:textId="77777777" w:rsidR="008A702A" w:rsidRDefault="00000000">
      <w:pPr>
        <w:pStyle w:val="ListBullet"/>
        <w:spacing w:after="40"/>
      </w:pPr>
      <w:r>
        <w:t>List key facts (dates, amounts, counterparties, channels, devices, IPs).</w:t>
      </w:r>
    </w:p>
    <w:p w14:paraId="527C0BD1" w14:textId="77777777" w:rsidR="008A702A" w:rsidRDefault="00000000">
      <w:pPr>
        <w:pStyle w:val="ListBullet"/>
        <w:spacing w:after="40"/>
      </w:pPr>
      <w:r>
        <w:t>Tie facts to a typology (fraud, structuring, mule behavior, sanctions evasion, etc.).</w:t>
      </w:r>
    </w:p>
    <w:p w14:paraId="7BDE2511" w14:textId="77777777" w:rsidR="008A702A" w:rsidRDefault="00000000">
      <w:pPr>
        <w:pStyle w:val="ListBullet"/>
        <w:spacing w:after="40"/>
      </w:pPr>
      <w:r>
        <w:t>State the decision (File / Monitor) and explain why.</w:t>
      </w:r>
    </w:p>
    <w:p w14:paraId="1440FCB5" w14:textId="77777777" w:rsidR="008A702A" w:rsidRDefault="00000000">
      <w:pPr>
        <w:pStyle w:val="ListBullet"/>
        <w:spacing w:after="40"/>
      </w:pPr>
      <w:r>
        <w:t>Capture approvals and any escalation (partner bank, legal, senior management).</w:t>
      </w:r>
    </w:p>
    <w:p w14:paraId="1C2B653A" w14:textId="5A01BEE4" w:rsidR="008A702A" w:rsidRDefault="00000000">
      <w:pPr>
        <w:pStyle w:val="HREH2"/>
      </w:pPr>
      <w:r>
        <w:t>A3. Evidence Folder Structure</w:t>
      </w:r>
    </w:p>
    <w:p w14:paraId="47D721C2" w14:textId="77777777" w:rsidR="008A702A" w:rsidRDefault="00000000" w:rsidP="00F57DC9">
      <w:pPr>
        <w:pStyle w:val="ListNumber"/>
        <w:numPr>
          <w:ilvl w:val="0"/>
          <w:numId w:val="10"/>
        </w:numPr>
        <w:spacing w:after="40"/>
      </w:pPr>
      <w:r>
        <w:t>01_Governance (charter, minutes, dashboards)</w:t>
      </w:r>
    </w:p>
    <w:p w14:paraId="2336F874" w14:textId="77777777" w:rsidR="008A702A" w:rsidRDefault="00000000" w:rsidP="00F57DC9">
      <w:pPr>
        <w:pStyle w:val="ListNumber"/>
        <w:numPr>
          <w:ilvl w:val="0"/>
          <w:numId w:val="10"/>
        </w:numPr>
        <w:spacing w:after="40"/>
      </w:pPr>
      <w:r>
        <w:t>02_Risk_Assessment (risk inventory, methodology, updates)</w:t>
      </w:r>
    </w:p>
    <w:p w14:paraId="0EE63FFA" w14:textId="77777777" w:rsidR="008A702A" w:rsidRDefault="00000000" w:rsidP="00F57DC9">
      <w:pPr>
        <w:pStyle w:val="ListNumber"/>
        <w:numPr>
          <w:ilvl w:val="0"/>
          <w:numId w:val="10"/>
        </w:numPr>
        <w:spacing w:after="40"/>
      </w:pPr>
      <w:r>
        <w:t>03_CDD_EDD (standards, samples, approvals)</w:t>
      </w:r>
    </w:p>
    <w:p w14:paraId="32311863" w14:textId="77777777" w:rsidR="008A702A" w:rsidRDefault="00000000" w:rsidP="00F57DC9">
      <w:pPr>
        <w:pStyle w:val="ListNumber"/>
        <w:numPr>
          <w:ilvl w:val="0"/>
          <w:numId w:val="10"/>
        </w:numPr>
        <w:spacing w:after="40"/>
      </w:pPr>
      <w:r>
        <w:t>04_Monitoring (scenarios, thresholds, tuning, validation)</w:t>
      </w:r>
    </w:p>
    <w:p w14:paraId="20815B25" w14:textId="77777777" w:rsidR="008A702A" w:rsidRDefault="00000000" w:rsidP="00F57DC9">
      <w:pPr>
        <w:pStyle w:val="ListNumber"/>
        <w:numPr>
          <w:ilvl w:val="0"/>
          <w:numId w:val="10"/>
        </w:numPr>
        <w:spacing w:after="40"/>
      </w:pPr>
      <w:r>
        <w:t>05_Investigations_SARs (case files, narratives, QA results)</w:t>
      </w:r>
    </w:p>
    <w:p w14:paraId="1D92515E" w14:textId="77777777" w:rsidR="008A702A" w:rsidRDefault="00000000" w:rsidP="00F57DC9">
      <w:pPr>
        <w:pStyle w:val="ListNumber"/>
        <w:numPr>
          <w:ilvl w:val="0"/>
          <w:numId w:val="10"/>
        </w:numPr>
        <w:spacing w:after="40"/>
      </w:pPr>
      <w:r>
        <w:t>06_Vendors (due diligence, contracts, monitoring, incidents)</w:t>
      </w:r>
    </w:p>
    <w:p w14:paraId="11483C19" w14:textId="2C9EE79F" w:rsidR="008A702A" w:rsidRDefault="00000000" w:rsidP="00F57DC9">
      <w:pPr>
        <w:pStyle w:val="ListNumber"/>
        <w:numPr>
          <w:ilvl w:val="0"/>
          <w:numId w:val="10"/>
        </w:numPr>
        <w:spacing w:after="40"/>
      </w:pPr>
      <w:r>
        <w:t xml:space="preserve">07_Issues_CAPA (issue log, remediation evidence, </w:t>
      </w:r>
      <w:r w:rsidR="00F57DC9">
        <w:t>signoffs</w:t>
      </w:r>
      <w:r>
        <w:t>)</w:t>
      </w:r>
    </w:p>
    <w:sectPr w:rsidR="008A70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D4D8C"/>
    <w:multiLevelType w:val="hybridMultilevel"/>
    <w:tmpl w:val="92843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482212">
    <w:abstractNumId w:val="8"/>
  </w:num>
  <w:num w:numId="2" w16cid:durableId="118568658">
    <w:abstractNumId w:val="6"/>
  </w:num>
  <w:num w:numId="3" w16cid:durableId="1980105693">
    <w:abstractNumId w:val="5"/>
  </w:num>
  <w:num w:numId="4" w16cid:durableId="1271275117">
    <w:abstractNumId w:val="4"/>
  </w:num>
  <w:num w:numId="5" w16cid:durableId="591815195">
    <w:abstractNumId w:val="7"/>
  </w:num>
  <w:num w:numId="6" w16cid:durableId="339085746">
    <w:abstractNumId w:val="3"/>
  </w:num>
  <w:num w:numId="7" w16cid:durableId="526255674">
    <w:abstractNumId w:val="2"/>
  </w:num>
  <w:num w:numId="8" w16cid:durableId="697127354">
    <w:abstractNumId w:val="1"/>
  </w:num>
  <w:num w:numId="9" w16cid:durableId="1295327856">
    <w:abstractNumId w:val="0"/>
  </w:num>
  <w:num w:numId="10" w16cid:durableId="791284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10C5B"/>
    <w:rsid w:val="008A702A"/>
    <w:rsid w:val="00AA1D8D"/>
    <w:rsid w:val="00B47730"/>
    <w:rsid w:val="00BC5EC6"/>
    <w:rsid w:val="00C749FA"/>
    <w:rsid w:val="00CB0664"/>
    <w:rsid w:val="00F57DC9"/>
    <w:rsid w:val="00FC3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D2926"/>
  <w14:defaultImageDpi w14:val="300"/>
  <w15:docId w15:val="{4E315A4F-1FA9-41E9-9FF2-CDDC2BED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RETitle">
    <w:name w:val="HRE Title"/>
    <w:rPr>
      <w:rFonts w:ascii="Calibri" w:eastAsia="Calibri" w:hAnsi="Calibri"/>
      <w:b/>
      <w:sz w:val="56"/>
    </w:rPr>
  </w:style>
  <w:style w:type="paragraph" w:customStyle="1" w:styleId="HRESubtitle">
    <w:name w:val="HRE Subtitle"/>
    <w:rPr>
      <w:rFonts w:ascii="Calibri" w:eastAsia="Calibri" w:hAnsi="Calibri"/>
      <w:color w:val="505050"/>
      <w:sz w:val="24"/>
    </w:rPr>
  </w:style>
  <w:style w:type="paragraph" w:customStyle="1" w:styleId="HREH1">
    <w:name w:val="HRE H1"/>
    <w:rPr>
      <w:rFonts w:ascii="Calibri" w:eastAsia="Calibri" w:hAnsi="Calibri"/>
      <w:b/>
      <w:sz w:val="36"/>
    </w:rPr>
  </w:style>
  <w:style w:type="paragraph" w:customStyle="1" w:styleId="HREH2">
    <w:name w:val="HRE H2"/>
    <w:rPr>
      <w:rFonts w:ascii="Calibri" w:eastAsia="Calibri" w:hAnsi="Calibri"/>
      <w:b/>
      <w:sz w:val="28"/>
    </w:rPr>
  </w:style>
  <w:style w:type="paragraph" w:customStyle="1" w:styleId="HREBody">
    <w:name w:val="HRE Body"/>
    <w:rPr>
      <w:rFonts w:ascii="Calibri" w:eastAsia="Calibri" w:hAnsi="Calibri"/>
    </w:rPr>
  </w:style>
  <w:style w:type="paragraph" w:customStyle="1" w:styleId="HRESmall">
    <w:name w:val="HRE Small"/>
    <w:rPr>
      <w:rFonts w:ascii="Calibri" w:eastAsia="Calibri" w:hAnsi="Calibri"/>
      <w:color w:val="5A5A5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 Muscolino</cp:lastModifiedBy>
  <cp:revision>5</cp:revision>
  <dcterms:created xsi:type="dcterms:W3CDTF">2026-03-01T15:27:00Z</dcterms:created>
  <dcterms:modified xsi:type="dcterms:W3CDTF">2026-03-01T15:28:00Z</dcterms:modified>
  <cp:category/>
</cp:coreProperties>
</file>