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Brussels, September 27, 1960. </w:t>
      </w:r>
    </w:p>
    <w:p w:rsidR="00000000" w:rsidDel="00000000" w:rsidP="00000000" w:rsidRDefault="00000000" w:rsidRPr="00000000" w14:paraId="00000002">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3">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4">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Most Reverend Monsignor A. GLORIEUX, </w:t>
      </w:r>
    </w:p>
    <w:p w:rsidR="00000000" w:rsidDel="00000000" w:rsidP="00000000" w:rsidRDefault="00000000" w:rsidRPr="00000000" w14:paraId="00000005">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6">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Secretary of the Pontifical Commission for the Lay Apostolate, </w:t>
      </w:r>
    </w:p>
    <w:p w:rsidR="00000000" w:rsidDel="00000000" w:rsidP="00000000" w:rsidRDefault="00000000" w:rsidRPr="00000000" w14:paraId="00000007">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8">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171 Largo Febo, ROME (Italy) </w:t>
      </w:r>
    </w:p>
    <w:p w:rsidR="00000000" w:rsidDel="00000000" w:rsidP="00000000" w:rsidRDefault="00000000" w:rsidRPr="00000000" w14:paraId="00000009">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A">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B">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Dear Monsignor, </w:t>
      </w:r>
    </w:p>
    <w:p w:rsidR="00000000" w:rsidDel="00000000" w:rsidP="00000000" w:rsidRDefault="00000000" w:rsidRPr="00000000" w14:paraId="0000000C">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D">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I apologize for daring to bother you. I must ask you for some advice, and if you think possible, a favour. </w:t>
      </w:r>
    </w:p>
    <w:p w:rsidR="00000000" w:rsidDel="00000000" w:rsidP="00000000" w:rsidRDefault="00000000" w:rsidRPr="00000000" w14:paraId="0000000E">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0F">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We met the day before yesterday in Paris with the leaders of ACO, FIMOC and International JOC to examine the possibility of international collaboration. We also considered how each movement for itself, and all together, could do useful work by sending to the Commission for the Apostolate of the Laity and even to the other commissions one or more documents proposing the study of certain problems and experiences of solutions in the field of workers' apostolate, both for young people and adults. </w:t>
      </w:r>
    </w:p>
    <w:p w:rsidR="00000000" w:rsidDel="00000000" w:rsidP="00000000" w:rsidRDefault="00000000" w:rsidRPr="00000000" w14:paraId="00000010">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1">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During the exchange of views we even wondered if we could not propose the creation of a sub-commission composed of lay leaders and activists to submit to the Pontifical Commission the point of view, l experience and the wishes of the lay apostles themselves in connection with the apostolate to which they dedicate their whole life. </w:t>
      </w:r>
    </w:p>
    <w:p w:rsidR="00000000" w:rsidDel="00000000" w:rsidP="00000000" w:rsidRDefault="00000000" w:rsidRPr="00000000" w14:paraId="00000012">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3">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This sub-commission could work on an international scale, or diversify into continental sub-commissions, which would examine the problem from an even more realistic perspective, by continent. </w:t>
      </w:r>
    </w:p>
    <w:p w:rsidR="00000000" w:rsidDel="00000000" w:rsidP="00000000" w:rsidRDefault="00000000" w:rsidRPr="00000000" w14:paraId="00000014">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5">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The problem of the workers' apostolate seems to me so important in the whole problem of the apostolate of the laity, that I do not hesitate to ask you whether it is opportune to make such a proposal. If you could consult His Eminence Cardinal Cento on this subject, then you could suggest a useful attitude to us. I am ready to come and speak to His Eminence myself about it if She sees fit. </w:t>
      </w:r>
    </w:p>
    <w:p w:rsidR="00000000" w:rsidDel="00000000" w:rsidP="00000000" w:rsidRDefault="00000000" w:rsidRPr="00000000" w14:paraId="00000016">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7">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This collaboration of the laity himself in the preparation of the next Ecumenical Council seems to me very opportune at a time when the Geneva Ecumenical Council is preparing its World Congress next year in New Delhi on "Christ, Light of the World". enthusiastic appeal to the faithful of all faiths; also at a time when Moral Rearmament is redoubling its activity in Africa with all African parties as well as with all colored peoples. </w:t>
      </w:r>
    </w:p>
    <w:p w:rsidR="00000000" w:rsidDel="00000000" w:rsidP="00000000" w:rsidRDefault="00000000" w:rsidRPr="00000000" w14:paraId="00000018">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9">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What do you think ? If you find the question indiscreet answer me confidentially. I will keep your answer to myself. </w:t>
      </w:r>
    </w:p>
    <w:p w:rsidR="00000000" w:rsidDel="00000000" w:rsidP="00000000" w:rsidRDefault="00000000" w:rsidRPr="00000000" w14:paraId="0000001A">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B">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C">
      <w:pPr>
        <w:pageBreakBefore w:val="0"/>
        <w:widowControl w:val="0"/>
        <w:spacing w:line="240" w:lineRule="auto"/>
        <w:jc w:val="both"/>
        <w:rPr>
          <w:sz w:val="20"/>
          <w:szCs w:val="20"/>
          <w:highlight w:val="white"/>
        </w:rPr>
      </w:pPr>
      <w:r w:rsidDel="00000000" w:rsidR="00000000" w:rsidRPr="00000000">
        <w:rPr>
          <w:sz w:val="20"/>
          <w:szCs w:val="20"/>
          <w:highlight w:val="white"/>
          <w:rtl w:val="0"/>
        </w:rPr>
        <w:t xml:space="preserve">Jos. CARDIJN, rue des Palais, 90 Brussels 3 </w:t>
      </w:r>
    </w:p>
    <w:p w:rsidR="00000000" w:rsidDel="00000000" w:rsidP="00000000" w:rsidRDefault="00000000" w:rsidRPr="00000000" w14:paraId="0000001D">
      <w:pPr>
        <w:pageBreakBefore w:val="0"/>
        <w:widowControl w:val="0"/>
        <w:spacing w:line="240" w:lineRule="auto"/>
        <w:jc w:val="both"/>
        <w:rPr>
          <w:sz w:val="20"/>
          <w:szCs w:val="20"/>
          <w:highlight w:val="white"/>
        </w:rPr>
      </w:pPr>
      <w:r w:rsidDel="00000000" w:rsidR="00000000" w:rsidRPr="00000000">
        <w:rPr>
          <w:rtl w:val="0"/>
        </w:rPr>
      </w:r>
    </w:p>
    <w:p w:rsidR="00000000" w:rsidDel="00000000" w:rsidP="00000000" w:rsidRDefault="00000000" w:rsidRPr="00000000" w14:paraId="0000001E">
      <w:pPr>
        <w:pageBreakBefore w:val="0"/>
        <w:widowControl w:val="0"/>
        <w:spacing w:line="240" w:lineRule="auto"/>
        <w:jc w:val="both"/>
        <w:rPr/>
      </w:pPr>
      <w:r w:rsidDel="00000000" w:rsidR="00000000" w:rsidRPr="00000000">
        <w:rPr>
          <w:sz w:val="20"/>
          <w:szCs w:val="20"/>
          <w:highlight w:val="white"/>
          <w:rtl w:val="0"/>
        </w:rPr>
        <w:t xml:space="preserve">PS Where should correspondence relating to the Commission be addressed? </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