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E12" w:rsidRDefault="00000000">
      <w:pPr>
        <w:spacing w:before="200" w:after="240"/>
        <w:jc w:val="center"/>
      </w:pPr>
      <w:r>
        <w:rPr>
          <w:b/>
          <w:bCs/>
          <w:sz w:val="32"/>
          <w:szCs w:val="32"/>
        </w:rPr>
        <w:t>DATABEHANDLERAVTALE</w:t>
      </w:r>
    </w:p>
    <w:p w:rsidR="00EA5E12" w:rsidRDefault="00000000">
      <w:pPr>
        <w:jc w:val="center"/>
      </w:pPr>
      <w:r>
        <w:rPr>
          <w:i/>
          <w:iCs/>
        </w:rPr>
        <w:t>etter GDPR artikkel 28</w:t>
      </w:r>
    </w:p>
    <w:p w:rsidR="00EA5E12" w:rsidRDefault="00EA5E12"/>
    <w:p w:rsidR="00EA5E12" w:rsidRDefault="00000000">
      <w:pPr>
        <w:spacing w:after="120"/>
      </w:pPr>
      <w:r>
        <w:rPr>
          <w:b/>
          <w:bCs/>
          <w:sz w:val="24"/>
          <w:szCs w:val="24"/>
        </w:rPr>
        <w:t>Slik bruker du denne malen</w:t>
      </w:r>
    </w:p>
    <w:p w:rsidR="00EA5E12" w:rsidRDefault="00000000">
      <w:pPr>
        <w:spacing w:after="120"/>
      </w:pPr>
      <w:r>
        <w:rPr>
          <w:i/>
          <w:iCs/>
          <w:color w:val="555555"/>
        </w:rPr>
        <w:t>Databehandleravtale er PÅLAGT etter GDPR artikkel 28 når en ekstern part (databehandler) behandler personopplysninger på vegne av virksomheten (behandlingsansvarlig). Eksempler er regnskapsfører, IT-leverandør, lønnssystem, CRM-system, e-postmarkedsføringsverktøy og bedriftshelsetjeneste.</w:t>
      </w:r>
    </w:p>
    <w:p w:rsidR="00EA5E12" w:rsidRDefault="00000000">
      <w:pPr>
        <w:spacing w:after="120"/>
      </w:pPr>
      <w:r>
        <w:rPr>
          <w:i/>
          <w:iCs/>
          <w:color w:val="555555"/>
        </w:rPr>
        <w:t>Avtalen skal være skriftlig og inneholde de obligatoriske bestemmelsene i GDPR art. 28(3). Mange leverandører tilbyr sine egne databehandleravtaler — disse er ofte bedre fordi de er tilpasset deres tjenester. Bruk denne malen kun hvis leverandøren ikke har sin egen, eller som utgangspunkt for forhandling.</w:t>
      </w:r>
    </w:p>
    <w:p w:rsidR="00EA5E12" w:rsidRDefault="00000000">
      <w:pPr>
        <w:spacing w:after="120"/>
      </w:pPr>
      <w:r>
        <w:rPr>
          <w:i/>
          <w:iCs/>
          <w:color w:val="555555"/>
        </w:rPr>
        <w:t>VIKTIG: Hvis databehandleren ligger utenfor EØS, kreves særskilt grunnlag for overføring (f.eks. standardkontraktsklausuler/SCC). Dette må vurderes konkret. Datatilsynet har veiledning om dette.</w:t>
      </w:r>
    </w:p>
    <w:p w:rsidR="00EA5E12" w:rsidRDefault="00000000">
      <w:pPr>
        <w:spacing w:after="120"/>
      </w:pPr>
      <w:r>
        <w:rPr>
          <w:i/>
          <w:iCs/>
          <w:color w:val="555555"/>
        </w:rPr>
        <w:t>Hvis databehandleren bruker underdatabehandlere (f.eks. skyleverandør), skal de listes opp i Vedlegg 3. Databehandler må ha skriftlig samtykke til å bruke nye underdatabehandlere.</w:t>
      </w:r>
    </w:p>
    <w:p w:rsidR="00EA5E12" w:rsidRDefault="00EA5E12">
      <w:pPr>
        <w:pBdr>
          <w:bottom w:val="single" w:sz="6" w:space="1" w:color="888888"/>
        </w:pBdr>
        <w:spacing w:before="120" w:after="120"/>
      </w:pP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PARTER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Behandlingsansvarlig</w:t>
      </w:r>
    </w:p>
    <w:p w:rsidR="00EA5E12" w:rsidRDefault="00000000">
      <w:pPr>
        <w:spacing w:after="120"/>
      </w:pPr>
      <w:r>
        <w:rPr>
          <w:b/>
          <w:bCs/>
        </w:rPr>
        <w:t>[BEHANDLINGSANSVARLIG NAVN]</w:t>
      </w:r>
    </w:p>
    <w:p w:rsidR="00EA5E12" w:rsidRDefault="00000000">
      <w:pPr>
        <w:spacing w:after="120"/>
      </w:pPr>
      <w:r>
        <w:t xml:space="preserve">Org.nr: </w:t>
      </w:r>
      <w:r>
        <w:rPr>
          <w:b/>
          <w:bCs/>
        </w:rPr>
        <w:t>[ORG.NR]</w:t>
      </w:r>
    </w:p>
    <w:p w:rsidR="00EA5E12" w:rsidRDefault="00000000">
      <w:pPr>
        <w:spacing w:after="120"/>
      </w:pPr>
      <w:r>
        <w:t xml:space="preserve">Adresse: </w:t>
      </w:r>
      <w:r>
        <w:rPr>
          <w:b/>
          <w:bCs/>
        </w:rPr>
        <w:t>[ADRESSE]</w:t>
      </w:r>
    </w:p>
    <w:p w:rsidR="00EA5E12" w:rsidRDefault="00000000">
      <w:pPr>
        <w:spacing w:after="120"/>
      </w:pPr>
      <w:r>
        <w:t xml:space="preserve">Kontaktperson: </w:t>
      </w:r>
      <w:r>
        <w:rPr>
          <w:b/>
          <w:bCs/>
        </w:rPr>
        <w:t>[NAVN OG E-POST]</w:t>
      </w:r>
    </w:p>
    <w:p w:rsidR="00EA5E12" w:rsidRDefault="00EA5E12"/>
    <w:p w:rsidR="00EA5E12" w:rsidRDefault="00000000">
      <w:pPr>
        <w:spacing w:after="120"/>
      </w:pPr>
      <w:r>
        <w:rPr>
          <w:i/>
          <w:iCs/>
        </w:rPr>
        <w:t>(heretter "behandlingsansvarlig")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Databehandler</w:t>
      </w:r>
    </w:p>
    <w:p w:rsidR="00EA5E12" w:rsidRDefault="00000000">
      <w:pPr>
        <w:spacing w:after="120"/>
      </w:pPr>
      <w:r>
        <w:rPr>
          <w:b/>
          <w:bCs/>
        </w:rPr>
        <w:t>[DATABEHANDLER NAVN]</w:t>
      </w:r>
    </w:p>
    <w:p w:rsidR="00EA5E12" w:rsidRDefault="00000000">
      <w:pPr>
        <w:spacing w:after="120"/>
      </w:pPr>
      <w:r>
        <w:t xml:space="preserve">Org.nr: </w:t>
      </w:r>
      <w:r>
        <w:rPr>
          <w:b/>
          <w:bCs/>
        </w:rPr>
        <w:t>[ORG.NR]</w:t>
      </w:r>
    </w:p>
    <w:p w:rsidR="00EA5E12" w:rsidRDefault="00000000">
      <w:pPr>
        <w:spacing w:after="120"/>
      </w:pPr>
      <w:r>
        <w:t xml:space="preserve">Adresse: </w:t>
      </w:r>
      <w:r>
        <w:rPr>
          <w:b/>
          <w:bCs/>
        </w:rPr>
        <w:t>[ADRESSE]</w:t>
      </w:r>
    </w:p>
    <w:p w:rsidR="00EA5E12" w:rsidRDefault="00000000">
      <w:pPr>
        <w:spacing w:after="120"/>
      </w:pPr>
      <w:r>
        <w:t xml:space="preserve">Kontaktperson: </w:t>
      </w:r>
      <w:r>
        <w:rPr>
          <w:b/>
          <w:bCs/>
        </w:rPr>
        <w:t>[NAVN OG E-POST]</w:t>
      </w:r>
    </w:p>
    <w:p w:rsidR="00EA5E12" w:rsidRDefault="00EA5E12"/>
    <w:p w:rsidR="00EA5E12" w:rsidRDefault="00000000">
      <w:pPr>
        <w:spacing w:after="120"/>
      </w:pPr>
      <w:r>
        <w:rPr>
          <w:i/>
          <w:iCs/>
        </w:rPr>
        <w:t>(heretter "databehandler")</w:t>
      </w:r>
    </w:p>
    <w:p w:rsidR="00EA5E12" w:rsidRDefault="00EA5E12"/>
    <w:p w:rsidR="00EA5E12" w:rsidRDefault="00000000">
      <w:pPr>
        <w:spacing w:after="120"/>
      </w:pPr>
      <w:r>
        <w:rPr>
          <w:i/>
          <w:iCs/>
        </w:rPr>
        <w:t>Tilsammen kalt "partene".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1. BAKGRUNN OG FORMÅL</w:t>
      </w:r>
    </w:p>
    <w:p w:rsidR="00EA5E12" w:rsidRDefault="00000000">
      <w:pPr>
        <w:spacing w:after="120"/>
      </w:pPr>
      <w:r>
        <w:t>Denne avtalen inngås for å oppfylle krav om databehandleravtale etter Personvernforordningen (GDPR) artikkel 28.</w:t>
      </w:r>
    </w:p>
    <w:p w:rsidR="00EA5E12" w:rsidRDefault="00EA5E12"/>
    <w:p w:rsidR="00EA5E12" w:rsidRDefault="00000000">
      <w:pPr>
        <w:spacing w:after="120"/>
      </w:pPr>
      <w:r>
        <w:lastRenderedPageBreak/>
        <w:t xml:space="preserve">Avtalen er en del av og tilknyttet hovedavtale mellom partene om </w:t>
      </w:r>
      <w:r>
        <w:rPr>
          <w:b/>
          <w:bCs/>
        </w:rPr>
        <w:t>[BESKRIV TJENESTEN, F.EKS. "LEVERING AV REGNSKAPSTJENESTER", "LEVERING AV CRM-SYSTEM"]</w:t>
      </w:r>
      <w:r>
        <w:t xml:space="preserve"> (heretter "hovedavtalen").</w:t>
      </w:r>
    </w:p>
    <w:p w:rsidR="00EA5E12" w:rsidRDefault="00EA5E12"/>
    <w:p w:rsidR="00EA5E12" w:rsidRDefault="00000000">
      <w:pPr>
        <w:spacing w:after="120"/>
      </w:pPr>
      <w:r>
        <w:t>Detaljer om behandlingen fremgår av Vedlegg 1.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2. DEFINISJONER</w:t>
      </w:r>
    </w:p>
    <w:p w:rsidR="00EA5E12" w:rsidRDefault="00000000">
      <w:pPr>
        <w:spacing w:after="120"/>
      </w:pPr>
      <w:r>
        <w:t>Begreper i denne avtalen følger definisjonene i GDPR artikkel 4, særlig:</w:t>
      </w:r>
    </w:p>
    <w:p w:rsidR="00EA5E12" w:rsidRDefault="00000000">
      <w:pPr>
        <w:pStyle w:val="Listeavsnitt"/>
        <w:numPr>
          <w:ilvl w:val="0"/>
          <w:numId w:val="2"/>
        </w:numPr>
      </w:pPr>
      <w:r>
        <w:t>"Personopplysninger" — enhver opplysning om en identifisert eller identifiserbar fysisk person</w:t>
      </w:r>
    </w:p>
    <w:p w:rsidR="00EA5E12" w:rsidRDefault="00000000">
      <w:pPr>
        <w:pStyle w:val="Listeavsnitt"/>
        <w:numPr>
          <w:ilvl w:val="0"/>
          <w:numId w:val="2"/>
        </w:numPr>
      </w:pPr>
      <w:r>
        <w:t>"Behandling" — enhver operasjon som utføres med personopplysninger</w:t>
      </w:r>
    </w:p>
    <w:p w:rsidR="00EA5E12" w:rsidRDefault="00000000">
      <w:pPr>
        <w:pStyle w:val="Listeavsnitt"/>
        <w:numPr>
          <w:ilvl w:val="0"/>
          <w:numId w:val="2"/>
        </w:numPr>
      </w:pPr>
      <w:r>
        <w:t>"Behandlingsansvarlig" — den som bestemmer formål og midler for behandlingen</w:t>
      </w:r>
    </w:p>
    <w:p w:rsidR="00EA5E12" w:rsidRDefault="00000000">
      <w:pPr>
        <w:pStyle w:val="Listeavsnitt"/>
        <w:numPr>
          <w:ilvl w:val="0"/>
          <w:numId w:val="2"/>
        </w:numPr>
      </w:pPr>
      <w:r>
        <w:t>"Databehandler" — den som behandler personopplysninger på vegne av behandlingsansvarlig</w:t>
      </w:r>
    </w:p>
    <w:p w:rsidR="00EA5E12" w:rsidRDefault="00000000">
      <w:pPr>
        <w:pStyle w:val="Listeavsnitt"/>
        <w:numPr>
          <w:ilvl w:val="0"/>
          <w:numId w:val="2"/>
        </w:numPr>
      </w:pPr>
      <w:r>
        <w:t>"Brudd på personopplysningssikkerheten" — brudd som fører til tilfeldig eller ulovlig tilintetgjørelse, tap, endring, uautorisert utlevering eller tilgang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3. DATABEHANDLERS PLIKTER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3.1 Behandling kun etter instruks</w:t>
      </w:r>
    </w:p>
    <w:p w:rsidR="00EA5E12" w:rsidRDefault="00000000">
      <w:pPr>
        <w:spacing w:after="120"/>
      </w:pPr>
      <w:r>
        <w:t>Databehandler skal kun behandle personopplysninger etter dokumentert instruks fra behandlingsansvarlig, herunder ved overføring til tredjeland. Dersom databehandler er pålagt å behandle utover instrukser etter EØS-retten eller medlemsstats rett, skal databehandler underrette behandlingsansvarlig om dette med mindre det er forbudt etter lov.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3.2 Konfidensialitet</w:t>
      </w:r>
    </w:p>
    <w:p w:rsidR="00EA5E12" w:rsidRDefault="00000000">
      <w:pPr>
        <w:spacing w:after="120"/>
      </w:pPr>
      <w:r>
        <w:t>Databehandler skal sikre at personer som er autorisert til å behandle personopplysningene, har forpliktet seg til konfidensialitet eller er underlagt egnet lovbestemt taushetsplikt.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3.3 Sikkerhet</w:t>
      </w:r>
    </w:p>
    <w:p w:rsidR="00EA5E12" w:rsidRDefault="00000000">
      <w:pPr>
        <w:spacing w:after="120"/>
      </w:pPr>
      <w:r>
        <w:t>Databehandler skal iverksette egnede tekniske og organisatoriske tiltak for å sikre et passende sikkerhetsnivå, jf. GDPR art. 32, herunder:</w:t>
      </w:r>
    </w:p>
    <w:p w:rsidR="00EA5E12" w:rsidRDefault="00000000">
      <w:pPr>
        <w:pStyle w:val="Listeavsnitt"/>
        <w:numPr>
          <w:ilvl w:val="0"/>
          <w:numId w:val="2"/>
        </w:numPr>
      </w:pPr>
      <w:r>
        <w:t>Pseudonymisering og kryptering der det er hensiktsmessig</w:t>
      </w:r>
    </w:p>
    <w:p w:rsidR="00EA5E12" w:rsidRDefault="00000000">
      <w:pPr>
        <w:pStyle w:val="Listeavsnitt"/>
        <w:numPr>
          <w:ilvl w:val="0"/>
          <w:numId w:val="2"/>
        </w:numPr>
      </w:pPr>
      <w:r>
        <w:t>Sikre løpende konfidensialitet, integritet, tilgjengelighet og motstandsdyktighet</w:t>
      </w:r>
    </w:p>
    <w:p w:rsidR="00EA5E12" w:rsidRDefault="00000000">
      <w:pPr>
        <w:pStyle w:val="Listeavsnitt"/>
        <w:numPr>
          <w:ilvl w:val="0"/>
          <w:numId w:val="2"/>
        </w:numPr>
      </w:pPr>
      <w:r>
        <w:t>Mulighet for gjenoppretting ved fysisk eller teknisk hendelse</w:t>
      </w:r>
    </w:p>
    <w:p w:rsidR="00EA5E12" w:rsidRDefault="00000000">
      <w:pPr>
        <w:pStyle w:val="Listeavsnitt"/>
        <w:numPr>
          <w:ilvl w:val="0"/>
          <w:numId w:val="2"/>
        </w:numPr>
      </w:pPr>
      <w:r>
        <w:t>Regelmessig testing, undersøking og evaluering av effektiviteten av tiltakene</w:t>
      </w:r>
    </w:p>
    <w:p w:rsidR="00EA5E12" w:rsidRDefault="00EA5E12"/>
    <w:p w:rsidR="00EA5E12" w:rsidRDefault="00000000">
      <w:pPr>
        <w:spacing w:after="120"/>
      </w:pPr>
      <w:r>
        <w:t>Konkrete tekniske og organisatoriske tiltak fremgår av Vedlegg 2.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3.4 Underdatabehandlere</w:t>
      </w:r>
    </w:p>
    <w:p w:rsidR="00EA5E12" w:rsidRDefault="00000000">
      <w:pPr>
        <w:spacing w:after="120"/>
      </w:pPr>
      <w:r>
        <w:t>Databehandler skal ikke bruke underdatabehandlere uten skriftlig forhåndsgodkjenning fra behandlingsansvarlig. Eksisterende underdatabehandlere er listet i Vedlegg 3.</w:t>
      </w:r>
    </w:p>
    <w:p w:rsidR="00EA5E12" w:rsidRDefault="00EA5E12"/>
    <w:p w:rsidR="00EA5E12" w:rsidRDefault="00000000">
      <w:pPr>
        <w:spacing w:after="120"/>
      </w:pPr>
      <w:r>
        <w:t>Databehandler skal melde fra om endringer i underdatabehandlere minst 30 dager før endring iverksettes. Behandlingsansvarlig har rett til å protestere mot endringer.</w:t>
      </w:r>
    </w:p>
    <w:p w:rsidR="00EA5E12" w:rsidRDefault="00EA5E12"/>
    <w:p w:rsidR="00EA5E12" w:rsidRDefault="00000000">
      <w:pPr>
        <w:spacing w:after="120"/>
      </w:pPr>
      <w:r>
        <w:t>Databehandler skal pålegge underdatabehandlere de samme forpliktelsene som følger av denne avtalen, og forblir fullt ansvarlig overfor behandlingsansvarlig for underdatabehandlerens oppfyllelse.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lastRenderedPageBreak/>
        <w:t>3.5 Bistand til behandlingsansvarlig</w:t>
      </w:r>
    </w:p>
    <w:p w:rsidR="00EA5E12" w:rsidRDefault="00000000">
      <w:pPr>
        <w:spacing w:after="120"/>
      </w:pPr>
      <w:r>
        <w:t>Databehandler skal:</w:t>
      </w:r>
    </w:p>
    <w:p w:rsidR="00EA5E12" w:rsidRDefault="00000000">
      <w:pPr>
        <w:pStyle w:val="Listeavsnitt"/>
        <w:numPr>
          <w:ilvl w:val="0"/>
          <w:numId w:val="2"/>
        </w:numPr>
      </w:pPr>
      <w:r>
        <w:t>Bistå behandlingsansvarlig ved håndtering av forespørsler fra registrerte (innsyn, retting, sletting mv.)</w:t>
      </w:r>
    </w:p>
    <w:p w:rsidR="00EA5E12" w:rsidRDefault="00000000">
      <w:pPr>
        <w:pStyle w:val="Listeavsnitt"/>
        <w:numPr>
          <w:ilvl w:val="0"/>
          <w:numId w:val="2"/>
        </w:numPr>
      </w:pPr>
      <w:r>
        <w:t>Bistå ved sikkerhetsbrudd, varslinger til Datatilsynet og berørte</w:t>
      </w:r>
    </w:p>
    <w:p w:rsidR="00EA5E12" w:rsidRDefault="00000000">
      <w:pPr>
        <w:pStyle w:val="Listeavsnitt"/>
        <w:numPr>
          <w:ilvl w:val="0"/>
          <w:numId w:val="2"/>
        </w:numPr>
      </w:pPr>
      <w:r>
        <w:t>Bistå ved DPIA (vurdering av personvernkonsekvenser) og forhåndsdrøftelse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3.6 Varsling om sikkerhetsbrudd</w:t>
      </w:r>
    </w:p>
    <w:p w:rsidR="00EA5E12" w:rsidRDefault="00000000">
      <w:pPr>
        <w:spacing w:after="120"/>
      </w:pPr>
      <w:r>
        <w:t>Databehandler skal uten ugrunnet opphold og senest innen 24 timer melde brudd på personopplysningssikkerheten til behandlingsansvarlig. Meldingen skal inneholde:</w:t>
      </w:r>
    </w:p>
    <w:p w:rsidR="00EA5E12" w:rsidRDefault="00000000">
      <w:pPr>
        <w:pStyle w:val="Listeavsnitt"/>
        <w:numPr>
          <w:ilvl w:val="0"/>
          <w:numId w:val="2"/>
        </w:numPr>
      </w:pPr>
      <w:r>
        <w:t>Beskrivelse av bruddet, herunder antall og kategorier av registrerte og personopplysninger</w:t>
      </w:r>
    </w:p>
    <w:p w:rsidR="00EA5E12" w:rsidRDefault="00000000">
      <w:pPr>
        <w:pStyle w:val="Listeavsnitt"/>
        <w:numPr>
          <w:ilvl w:val="0"/>
          <w:numId w:val="2"/>
        </w:numPr>
      </w:pPr>
      <w:r>
        <w:t>Sannsynlige konsekvenser</w:t>
      </w:r>
    </w:p>
    <w:p w:rsidR="00EA5E12" w:rsidRDefault="00000000">
      <w:pPr>
        <w:pStyle w:val="Listeavsnitt"/>
        <w:numPr>
          <w:ilvl w:val="0"/>
          <w:numId w:val="2"/>
        </w:numPr>
      </w:pPr>
      <w:r>
        <w:t>Iverksatte og foreslåtte tiltak</w:t>
      </w:r>
    </w:p>
    <w:p w:rsidR="00EA5E12" w:rsidRDefault="00000000">
      <w:pPr>
        <w:pStyle w:val="Listeavsnitt"/>
        <w:numPr>
          <w:ilvl w:val="0"/>
          <w:numId w:val="2"/>
        </w:numPr>
      </w:pPr>
      <w:r>
        <w:t>Kontaktinformasjon for ytterligere opplysninger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3.7 Sletting eller retur av data</w:t>
      </w:r>
    </w:p>
    <w:p w:rsidR="00EA5E12" w:rsidRDefault="00000000">
      <w:pPr>
        <w:spacing w:after="120"/>
      </w:pPr>
      <w:r>
        <w:t>Ved avslutning av avtalen skal databehandler, etter behandlingsansvarliges valg, enten:</w:t>
      </w:r>
    </w:p>
    <w:p w:rsidR="00EA5E12" w:rsidRDefault="00000000">
      <w:pPr>
        <w:pStyle w:val="Listeavsnitt"/>
        <w:numPr>
          <w:ilvl w:val="0"/>
          <w:numId w:val="2"/>
        </w:numPr>
      </w:pPr>
      <w:r>
        <w:t>Slette alle personopplysninger og bekrefte sletting skriftlig, ELLER</w:t>
      </w:r>
    </w:p>
    <w:p w:rsidR="00EA5E12" w:rsidRDefault="00000000">
      <w:pPr>
        <w:pStyle w:val="Listeavsnitt"/>
        <w:numPr>
          <w:ilvl w:val="0"/>
          <w:numId w:val="2"/>
        </w:numPr>
      </w:pPr>
      <w:r>
        <w:t>Returnere alle personopplysninger til behandlingsansvarlig</w:t>
      </w:r>
    </w:p>
    <w:p w:rsidR="00EA5E12" w:rsidRDefault="00EA5E12"/>
    <w:p w:rsidR="00EA5E12" w:rsidRDefault="00000000">
      <w:pPr>
        <w:spacing w:after="120"/>
      </w:pPr>
      <w:r>
        <w:t>Sletting / retur skal skje innen 30 dager etter avtalens opphør, med mindre lov pålegger lengre oppbevaring.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3.8 Informasjon og revisjon</w:t>
      </w:r>
    </w:p>
    <w:p w:rsidR="00EA5E12" w:rsidRDefault="00000000">
      <w:pPr>
        <w:spacing w:after="120"/>
      </w:pPr>
      <w:r>
        <w:t>Databehandler skal gi behandlingsansvarlig all nødvendig informasjon for å dokumentere etterlevelse av denne avtalen og GDPR art. 28.</w:t>
      </w:r>
    </w:p>
    <w:p w:rsidR="00EA5E12" w:rsidRDefault="00000000">
      <w:pPr>
        <w:spacing w:after="120"/>
      </w:pPr>
      <w:r>
        <w:t>Behandlingsansvarlig har rett til å gjennomføre revisjon, herunder inspeksjoner, av databehandler. Revisjoner skal varsles med minst 30 dagers varsel og gjennomføres på en måte som ikke vesentlig forstyrrer databehandlers drift.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4. BEHANDLINGSANSVARLIGES PLIKTER</w:t>
      </w:r>
    </w:p>
    <w:p w:rsidR="00EA5E12" w:rsidRDefault="00000000">
      <w:pPr>
        <w:spacing w:after="120"/>
      </w:pPr>
      <w:r>
        <w:t>Behandlingsansvarlig skal:</w:t>
      </w:r>
    </w:p>
    <w:p w:rsidR="00EA5E12" w:rsidRDefault="00000000">
      <w:pPr>
        <w:pStyle w:val="Listeavsnitt"/>
        <w:numPr>
          <w:ilvl w:val="0"/>
          <w:numId w:val="2"/>
        </w:numPr>
      </w:pPr>
      <w:r>
        <w:t>Sikre at behandlingen har rettsgrunnlag</w:t>
      </w:r>
    </w:p>
    <w:p w:rsidR="00EA5E12" w:rsidRDefault="00000000">
      <w:pPr>
        <w:pStyle w:val="Listeavsnitt"/>
        <w:numPr>
          <w:ilvl w:val="0"/>
          <w:numId w:val="2"/>
        </w:numPr>
      </w:pPr>
      <w:r>
        <w:t>Gi nødvendig informasjon til registrerte</w:t>
      </w:r>
    </w:p>
    <w:p w:rsidR="00EA5E12" w:rsidRDefault="00000000">
      <w:pPr>
        <w:pStyle w:val="Listeavsnitt"/>
        <w:numPr>
          <w:ilvl w:val="0"/>
          <w:numId w:val="2"/>
        </w:numPr>
      </w:pPr>
      <w:r>
        <w:t>Gi tydelige og dokumenterte instrukser til databehandler</w:t>
      </w:r>
    </w:p>
    <w:p w:rsidR="00EA5E12" w:rsidRDefault="00000000">
      <w:pPr>
        <w:pStyle w:val="Listeavsnitt"/>
        <w:numPr>
          <w:ilvl w:val="0"/>
          <w:numId w:val="2"/>
        </w:numPr>
      </w:pPr>
      <w:r>
        <w:t>Vurdere risikoen ved behandlingen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5. OVERFØRING UTENFOR EU/EØS</w:t>
      </w:r>
    </w:p>
    <w:p w:rsidR="00EA5E12" w:rsidRDefault="00000000">
      <w:pPr>
        <w:spacing w:after="120"/>
      </w:pPr>
      <w:r>
        <w:t>Personopplysninger skal ikke overføres til land utenfor EU/EØS uten at det er sikret tilstrekkelig beskyttelsesnivå, jf. GDPR kapittel V.</w:t>
      </w:r>
    </w:p>
    <w:p w:rsidR="00EA5E12" w:rsidRDefault="00EA5E12"/>
    <w:p w:rsidR="00EA5E12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All behandling skjer innenfor EU/EØS</w:t>
      </w:r>
    </w:p>
    <w:p w:rsidR="00EA5E12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Behandling skjer utenfor EU/EØS basert på:</w:t>
      </w:r>
    </w:p>
    <w:p w:rsidR="00EA5E12" w:rsidRDefault="00000000">
      <w:pPr>
        <w:pStyle w:val="Listeavsnitt"/>
        <w:numPr>
          <w:ilvl w:val="0"/>
          <w:numId w:val="2"/>
        </w:numPr>
      </w:pPr>
      <w:r>
        <w:t>EU-kommisjonens beslutning om tilstrekkelig beskyttelsesnivå</w:t>
      </w:r>
    </w:p>
    <w:p w:rsidR="00EA5E12" w:rsidRDefault="00000000">
      <w:pPr>
        <w:pStyle w:val="Listeavsnitt"/>
        <w:numPr>
          <w:ilvl w:val="0"/>
          <w:numId w:val="2"/>
        </w:numPr>
      </w:pPr>
      <w:r>
        <w:t>Standardkontraktsklausuler (SCC) — vedlagt</w:t>
      </w:r>
    </w:p>
    <w:p w:rsidR="00EA5E12" w:rsidRDefault="00000000">
      <w:pPr>
        <w:pStyle w:val="Listeavsnitt"/>
        <w:numPr>
          <w:ilvl w:val="0"/>
          <w:numId w:val="2"/>
        </w:numPr>
      </w:pPr>
      <w:r>
        <w:t>Annet grunnlag — spesifiser:</w:t>
      </w:r>
    </w:p>
    <w:p w:rsidR="00EA5E12" w:rsidRDefault="00EA5E12"/>
    <w:p w:rsidR="00EA5E12" w:rsidRDefault="00000000">
      <w:pPr>
        <w:spacing w:after="120"/>
      </w:pPr>
      <w:r>
        <w:rPr>
          <w:b/>
          <w:bCs/>
        </w:rPr>
        <w:t>[SPESIFISER LAND OG GRUNNLAG]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6. ERSTATNING OG ANSVAR</w:t>
      </w:r>
    </w:p>
    <w:p w:rsidR="00EA5E12" w:rsidRDefault="00000000">
      <w:pPr>
        <w:spacing w:after="120"/>
      </w:pPr>
      <w:r>
        <w:t>Partene er ansvarlige for skade som måtte oppstå som følge av brudd på denne avtalen og personvernregelverket. Mellom partene fordeles ansvaret i samsvar med GDPR artikkel 82 og alminnelige erstatningsregler.</w:t>
      </w:r>
    </w:p>
    <w:p w:rsidR="00EA5E12" w:rsidRDefault="00EA5E12"/>
    <w:p w:rsidR="00EA5E12" w:rsidRDefault="00000000">
      <w:pPr>
        <w:spacing w:after="120"/>
      </w:pPr>
      <w:r>
        <w:t xml:space="preserve">Erstatningsansvaret er begrenset til </w:t>
      </w:r>
      <w:r>
        <w:rPr>
          <w:b/>
          <w:bCs/>
        </w:rPr>
        <w:t>[F.EKS. "DET VEDERLAG SOM ER BETALT TIL DATABEHANDLER UNDER HOVEDAVTALEN DE SISTE 12 MÅNEDER FØR SKADEN OPPSTOD"]</w:t>
      </w:r>
      <w:r>
        <w:t>, med mindre skaden skyldes forsett eller grov uaktsomhet.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7. AVTALENS VARIGHET</w:t>
      </w:r>
    </w:p>
    <w:p w:rsidR="00EA5E12" w:rsidRDefault="00000000">
      <w:pPr>
        <w:spacing w:after="120"/>
      </w:pPr>
      <w:r>
        <w:t>Avtalen gjelder så lenge databehandler behandler personopplysninger på vegne av behandlingsansvarlig under hovedavtalen.</w:t>
      </w:r>
    </w:p>
    <w:p w:rsidR="00EA5E12" w:rsidRDefault="00000000">
      <w:pPr>
        <w:spacing w:after="120"/>
      </w:pPr>
      <w:r>
        <w:t>Avtalen opphører automatisk når hovedavtalen opphører, men forpliktelser etter punkt 3.7 (sletting/retur) og taushetsplikten gjelder også etter avtalens opphør.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8. ENDRINGER</w:t>
      </w:r>
    </w:p>
    <w:p w:rsidR="00EA5E12" w:rsidRDefault="00000000">
      <w:pPr>
        <w:spacing w:after="120"/>
      </w:pPr>
      <w:r>
        <w:t>Endringer i avtalen krever skriftlig avtale mellom partene. Endringer i regelverket som krever oppdatering av avtalen skal følges opp av begge parter.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9. LOVVALG OG VERNETING</w:t>
      </w:r>
    </w:p>
    <w:p w:rsidR="00EA5E12" w:rsidRDefault="00000000">
      <w:pPr>
        <w:spacing w:after="120"/>
      </w:pPr>
      <w:r>
        <w:t xml:space="preserve">Norsk rett skal anvendes ved tolkning av denne avtalen. Eventuelle tvister mellom partene skal søkes løst ved forhandlinger. Hvis tvisten ikke kan løses, skal saken behandles av norske domstoler med </w:t>
      </w:r>
      <w:r>
        <w:rPr>
          <w:b/>
          <w:bCs/>
        </w:rPr>
        <w:t>[VERNETING, F.EKS. "BERGEN TINGRETT"]</w:t>
      </w:r>
      <w:r>
        <w:t xml:space="preserve"> som verneting.</w:t>
      </w: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SIGNATURER</w:t>
      </w:r>
    </w:p>
    <w:p w:rsidR="00EA5E12" w:rsidRDefault="00000000">
      <w:pPr>
        <w:spacing w:after="120"/>
      </w:pPr>
      <w:r>
        <w:t>Denne avtalen er utferdiget i to eksemplarer, ett til hver part.</w:t>
      </w:r>
    </w:p>
    <w:p w:rsidR="00EA5E12" w:rsidRDefault="00EA5E12"/>
    <w:p w:rsidR="00EA5E12" w:rsidRDefault="00000000">
      <w:pPr>
        <w:spacing w:after="120"/>
      </w:pPr>
      <w:r>
        <w:t xml:space="preserve">Sted: </w:t>
      </w:r>
      <w:r>
        <w:rPr>
          <w:b/>
          <w:bCs/>
        </w:rPr>
        <w:t>[STED]</w:t>
      </w:r>
      <w:r>
        <w:t xml:space="preserve">        Dato: </w:t>
      </w:r>
      <w:r>
        <w:rPr>
          <w:b/>
          <w:bCs/>
        </w:rPr>
        <w:t>[DATO]</w:t>
      </w:r>
    </w:p>
    <w:p w:rsidR="00EA5E12" w:rsidRDefault="00EA5E12"/>
    <w:p w:rsidR="00EA5E12" w:rsidRDefault="00EA5E12"/>
    <w:p w:rsidR="00EA5E12" w:rsidRDefault="00000000">
      <w:pPr>
        <w:spacing w:after="120"/>
      </w:pPr>
      <w:r>
        <w:rPr>
          <w:b/>
          <w:bCs/>
        </w:rPr>
        <w:t>For behandlingsansvarlig:</w:t>
      </w:r>
    </w:p>
    <w:p w:rsidR="00EA5E12" w:rsidRDefault="00000000">
      <w:pPr>
        <w:spacing w:before="240" w:after="60"/>
      </w:pPr>
      <w:r>
        <w:t>_________________________________________</w:t>
      </w:r>
    </w:p>
    <w:p w:rsidR="00EA5E12" w:rsidRDefault="00000000">
      <w:pPr>
        <w:spacing w:after="120"/>
      </w:pPr>
      <w:r>
        <w:rPr>
          <w:b/>
          <w:bCs/>
        </w:rPr>
        <w:t>[NAVN]</w:t>
      </w:r>
    </w:p>
    <w:p w:rsidR="00EA5E12" w:rsidRDefault="00000000">
      <w:pPr>
        <w:spacing w:after="120"/>
      </w:pPr>
      <w:r>
        <w:rPr>
          <w:b/>
          <w:bCs/>
        </w:rPr>
        <w:t>[STILLINGSTITTEL]</w:t>
      </w:r>
    </w:p>
    <w:p w:rsidR="00EA5E12" w:rsidRDefault="00EA5E12"/>
    <w:p w:rsidR="00EA5E12" w:rsidRDefault="00EA5E12"/>
    <w:p w:rsidR="00EA5E12" w:rsidRDefault="00000000">
      <w:pPr>
        <w:spacing w:after="120"/>
      </w:pPr>
      <w:r>
        <w:rPr>
          <w:b/>
          <w:bCs/>
        </w:rPr>
        <w:t>For databehandler:</w:t>
      </w:r>
    </w:p>
    <w:p w:rsidR="00EA5E12" w:rsidRDefault="00000000">
      <w:pPr>
        <w:spacing w:before="240" w:after="60"/>
      </w:pPr>
      <w:r>
        <w:t>_________________________________________</w:t>
      </w:r>
    </w:p>
    <w:p w:rsidR="00EA5E12" w:rsidRDefault="00000000">
      <w:pPr>
        <w:spacing w:after="120"/>
      </w:pPr>
      <w:r>
        <w:rPr>
          <w:b/>
          <w:bCs/>
        </w:rPr>
        <w:t>[NAVN]</w:t>
      </w:r>
    </w:p>
    <w:p w:rsidR="00EA5E12" w:rsidRDefault="00000000">
      <w:pPr>
        <w:spacing w:after="120"/>
      </w:pPr>
      <w:r>
        <w:rPr>
          <w:b/>
          <w:bCs/>
        </w:rPr>
        <w:t>[STILLINGSTITTEL]</w:t>
      </w:r>
    </w:p>
    <w:p w:rsidR="00EA5E12" w:rsidRDefault="00EA5E12">
      <w:pPr>
        <w:pBdr>
          <w:bottom w:val="single" w:sz="6" w:space="1" w:color="888888"/>
        </w:pBdr>
        <w:spacing w:before="120" w:after="120"/>
      </w:pP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VEDLEGG 1: SPESIFIKASJON AV BEHANDLINGEN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Formålet med behandlingen</w:t>
      </w:r>
    </w:p>
    <w:p w:rsidR="00EA5E12" w:rsidRDefault="00000000">
      <w:pPr>
        <w:spacing w:after="120"/>
      </w:pPr>
      <w:r>
        <w:rPr>
          <w:b/>
          <w:bCs/>
        </w:rPr>
        <w:t>[F.EKS. "LEVERING AV LØNNSSYSTEM", "DRIFT AV CRM-SYSTEM"]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Behandlingens art</w:t>
      </w:r>
    </w:p>
    <w:p w:rsidR="00EA5E12" w:rsidRDefault="00000000">
      <w:pPr>
        <w:spacing w:after="120"/>
      </w:pPr>
      <w:r>
        <w:rPr>
          <w:b/>
          <w:bCs/>
        </w:rPr>
        <w:t>[F.EKS. "LAGRING, BEHANDLING OG PRESENTASJON AV DATA, KUNDESTØTTE"]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Varighet</w:t>
      </w:r>
    </w:p>
    <w:p w:rsidR="00EA5E12" w:rsidRDefault="00000000">
      <w:pPr>
        <w:spacing w:after="120"/>
      </w:pPr>
      <w:r>
        <w:rPr>
          <w:b/>
          <w:bCs/>
        </w:rPr>
        <w:t>[F.EKS. "SÅ LENGE HOVEDAVTALEN ER GJELDENDE"]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Kategorier av personopplysninger</w:t>
      </w:r>
    </w:p>
    <w:p w:rsidR="00EA5E12" w:rsidRDefault="00000000">
      <w:pPr>
        <w:pStyle w:val="Listeavsnitt"/>
        <w:numPr>
          <w:ilvl w:val="0"/>
          <w:numId w:val="2"/>
        </w:numPr>
      </w:pPr>
      <w:r>
        <w:rPr>
          <w:b/>
          <w:bCs/>
        </w:rPr>
        <w:t>[F.EKS. "NAVN, KONTAKTINFORMASJON, LØNNSOPPLYSNINGER"]</w:t>
      </w:r>
    </w:p>
    <w:p w:rsidR="00EA5E12" w:rsidRDefault="00000000">
      <w:pPr>
        <w:pStyle w:val="Listeavsnitt"/>
        <w:numPr>
          <w:ilvl w:val="0"/>
          <w:numId w:val="2"/>
        </w:numPr>
      </w:pPr>
      <w:r>
        <w:rPr>
          <w:b/>
          <w:bCs/>
        </w:rPr>
        <w:t>[ANDRE KATEGORIER]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Kategorier av registrerte</w:t>
      </w:r>
    </w:p>
    <w:p w:rsidR="00EA5E12" w:rsidRDefault="00000000">
      <w:pPr>
        <w:pStyle w:val="Listeavsnitt"/>
        <w:numPr>
          <w:ilvl w:val="0"/>
          <w:numId w:val="2"/>
        </w:numPr>
      </w:pPr>
      <w:r>
        <w:rPr>
          <w:b/>
          <w:bCs/>
        </w:rPr>
        <w:t>[F.EKS. "ANSATTE", "KUNDER", "LEVERANDØRER"]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Sensitive personopplysninger</w:t>
      </w:r>
    </w:p>
    <w:p w:rsidR="00EA5E12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Nei</w:t>
      </w:r>
    </w:p>
    <w:p w:rsidR="00EA5E12" w:rsidRDefault="00000000">
      <w:pPr>
        <w:spacing w:after="120"/>
      </w:pPr>
      <w:r>
        <w:rPr>
          <w:sz w:val="28"/>
          <w:szCs w:val="28"/>
        </w:rPr>
        <w:t xml:space="preserve">☐ </w:t>
      </w:r>
      <w:r>
        <w:t>Ja — spesifiser:</w:t>
      </w:r>
    </w:p>
    <w:p w:rsidR="00EA5E12" w:rsidRDefault="00000000">
      <w:pPr>
        <w:spacing w:after="120"/>
      </w:pPr>
      <w:r>
        <w:rPr>
          <w:b/>
          <w:bCs/>
        </w:rPr>
        <w:t>[KATEGORIER OG GRUNNLAG]</w:t>
      </w:r>
    </w:p>
    <w:p w:rsidR="00EA5E12" w:rsidRDefault="00EA5E12">
      <w:pPr>
        <w:pBdr>
          <w:bottom w:val="single" w:sz="6" w:space="1" w:color="888888"/>
        </w:pBdr>
        <w:spacing w:before="120" w:after="120"/>
      </w:pP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VEDLEGG 2: TEKNISKE OG ORGANISATORISKE TILTAK</w:t>
      </w:r>
    </w:p>
    <w:p w:rsidR="00EA5E12" w:rsidRDefault="00000000">
      <w:pPr>
        <w:spacing w:after="120"/>
      </w:pPr>
      <w:r>
        <w:t>Databehandler har iverksatt følgende tiltak for å sikre personopplysningene: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Tilgangskontroll</w:t>
      </w:r>
    </w:p>
    <w:p w:rsidR="00EA5E12" w:rsidRDefault="00000000">
      <w:pPr>
        <w:pStyle w:val="Listeavsnitt"/>
        <w:numPr>
          <w:ilvl w:val="0"/>
          <w:numId w:val="2"/>
        </w:numPr>
      </w:pPr>
      <w:r>
        <w:t>Bruker-autentisering med sterkt passord</w:t>
      </w:r>
    </w:p>
    <w:p w:rsidR="00EA5E12" w:rsidRDefault="00000000">
      <w:pPr>
        <w:pStyle w:val="Listeavsnitt"/>
        <w:numPr>
          <w:ilvl w:val="0"/>
          <w:numId w:val="2"/>
        </w:numPr>
      </w:pPr>
      <w:r>
        <w:t>Rolle- og rettighetsstyring</w:t>
      </w:r>
    </w:p>
    <w:p w:rsidR="00EA5E12" w:rsidRDefault="00000000">
      <w:pPr>
        <w:pStyle w:val="Listeavsnitt"/>
        <w:numPr>
          <w:ilvl w:val="0"/>
          <w:numId w:val="2"/>
        </w:numPr>
      </w:pPr>
      <w:r>
        <w:t>Tilgang basert på behov ("need-to-know")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Kryptering</w:t>
      </w:r>
    </w:p>
    <w:p w:rsidR="00EA5E12" w:rsidRDefault="00000000">
      <w:pPr>
        <w:pStyle w:val="Listeavsnitt"/>
        <w:numPr>
          <w:ilvl w:val="0"/>
          <w:numId w:val="2"/>
        </w:numPr>
      </w:pPr>
      <w:r>
        <w:t>Kryptering av data under overføring (TLS / HTTPS)</w:t>
      </w:r>
    </w:p>
    <w:p w:rsidR="00EA5E12" w:rsidRDefault="00000000">
      <w:pPr>
        <w:pStyle w:val="Listeavsnitt"/>
        <w:numPr>
          <w:ilvl w:val="0"/>
          <w:numId w:val="2"/>
        </w:numPr>
      </w:pPr>
      <w:r>
        <w:t>Kryptering av data i hvile (om aktuelt)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Tilgjengelighet og motstandsdyktighet</w:t>
      </w:r>
    </w:p>
    <w:p w:rsidR="00EA5E12" w:rsidRDefault="00000000">
      <w:pPr>
        <w:pStyle w:val="Listeavsnitt"/>
        <w:numPr>
          <w:ilvl w:val="0"/>
          <w:numId w:val="2"/>
        </w:numPr>
      </w:pPr>
      <w:r>
        <w:t>Backup-rutiner</w:t>
      </w:r>
    </w:p>
    <w:p w:rsidR="00EA5E12" w:rsidRDefault="00000000">
      <w:pPr>
        <w:pStyle w:val="Listeavsnitt"/>
        <w:numPr>
          <w:ilvl w:val="0"/>
          <w:numId w:val="2"/>
        </w:numPr>
      </w:pPr>
      <w:r>
        <w:t>Beredskapsplan og gjenopprettingsrutiner</w:t>
      </w:r>
    </w:p>
    <w:p w:rsidR="00EA5E12" w:rsidRDefault="00000000">
      <w:pPr>
        <w:pStyle w:val="Listeavsnitt"/>
        <w:numPr>
          <w:ilvl w:val="0"/>
          <w:numId w:val="2"/>
        </w:numPr>
      </w:pPr>
      <w:r>
        <w:t>Redundans i kritiske systemer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Logging og kontroll</w:t>
      </w:r>
    </w:p>
    <w:p w:rsidR="00EA5E12" w:rsidRDefault="00000000">
      <w:pPr>
        <w:pStyle w:val="Listeavsnitt"/>
        <w:numPr>
          <w:ilvl w:val="0"/>
          <w:numId w:val="2"/>
        </w:numPr>
      </w:pPr>
      <w:r>
        <w:t>Logging av tilgang og endringer</w:t>
      </w:r>
    </w:p>
    <w:p w:rsidR="00EA5E12" w:rsidRDefault="00000000">
      <w:pPr>
        <w:pStyle w:val="Listeavsnitt"/>
        <w:numPr>
          <w:ilvl w:val="0"/>
          <w:numId w:val="2"/>
        </w:numPr>
      </w:pPr>
      <w:r>
        <w:t>Overvåking av sikkerhetsbrudd</w:t>
      </w:r>
    </w:p>
    <w:p w:rsidR="00EA5E12" w:rsidRDefault="00000000">
      <w:pPr>
        <w:pStyle w:val="Listeavsnitt"/>
        <w:numPr>
          <w:ilvl w:val="0"/>
          <w:numId w:val="2"/>
        </w:numPr>
      </w:pPr>
      <w:r>
        <w:t>Periodisk testing av sikkerhetstiltak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Personell og opplæring</w:t>
      </w:r>
    </w:p>
    <w:p w:rsidR="00EA5E12" w:rsidRDefault="00000000">
      <w:pPr>
        <w:pStyle w:val="Listeavsnitt"/>
        <w:numPr>
          <w:ilvl w:val="0"/>
          <w:numId w:val="2"/>
        </w:numPr>
      </w:pPr>
      <w:r>
        <w:lastRenderedPageBreak/>
        <w:t>Konfidensialitetsforpliktelse for alle som har tilgang</w:t>
      </w:r>
    </w:p>
    <w:p w:rsidR="00EA5E12" w:rsidRDefault="00000000">
      <w:pPr>
        <w:pStyle w:val="Listeavsnitt"/>
        <w:numPr>
          <w:ilvl w:val="0"/>
          <w:numId w:val="2"/>
        </w:numPr>
      </w:pPr>
      <w:r>
        <w:t>Personvernopplæring av relevant personell</w:t>
      </w:r>
    </w:p>
    <w:p w:rsidR="00EA5E12" w:rsidRDefault="00000000">
      <w:pPr>
        <w:spacing w:before="180" w:after="80"/>
      </w:pPr>
      <w:r>
        <w:rPr>
          <w:b/>
          <w:bCs/>
          <w:sz w:val="23"/>
          <w:szCs w:val="23"/>
        </w:rPr>
        <w:t>Andre tiltak</w:t>
      </w:r>
    </w:p>
    <w:p w:rsidR="00EA5E12" w:rsidRDefault="00000000">
      <w:pPr>
        <w:spacing w:after="120"/>
      </w:pPr>
      <w:r>
        <w:rPr>
          <w:b/>
          <w:bCs/>
        </w:rPr>
        <w:t>[ANDRE RELEVANTE TILTAK]</w:t>
      </w:r>
    </w:p>
    <w:p w:rsidR="00EA5E12" w:rsidRDefault="00EA5E12">
      <w:pPr>
        <w:pBdr>
          <w:bottom w:val="single" w:sz="6" w:space="1" w:color="888888"/>
        </w:pBdr>
        <w:spacing w:before="120" w:after="120"/>
      </w:pPr>
    </w:p>
    <w:p w:rsidR="00EA5E12" w:rsidRDefault="00000000">
      <w:pPr>
        <w:spacing w:before="240" w:after="120"/>
      </w:pPr>
      <w:r>
        <w:rPr>
          <w:b/>
          <w:bCs/>
          <w:sz w:val="26"/>
          <w:szCs w:val="26"/>
        </w:rPr>
        <w:t>VEDLEGG 3: UNDERDATABEHANDLERE</w:t>
      </w:r>
    </w:p>
    <w:p w:rsidR="00EA5E12" w:rsidRDefault="00000000">
      <w:pPr>
        <w:spacing w:after="120"/>
      </w:pPr>
      <w:r>
        <w:t>Databehandler bruker følgende underdatabehandlere:</w:t>
      </w:r>
    </w:p>
    <w:p w:rsidR="00EA5E12" w:rsidRDefault="00EA5E12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5"/>
        <w:gridCol w:w="2470"/>
        <w:gridCol w:w="1973"/>
        <w:gridCol w:w="2118"/>
      </w:tblGrid>
      <w:tr w:rsidR="00EA5E1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000000">
            <w:r>
              <w:rPr>
                <w:b/>
                <w:bCs/>
              </w:rPr>
              <w:t>Navn / firma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000000">
            <w:r>
              <w:rPr>
                <w:b/>
                <w:bCs/>
              </w:rPr>
              <w:t>Tjeneste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000000">
            <w:r>
              <w:rPr>
                <w:b/>
                <w:bCs/>
              </w:rPr>
              <w:t>Land</w:t>
            </w:r>
          </w:p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000000">
            <w:r>
              <w:rPr>
                <w:b/>
                <w:bCs/>
              </w:rPr>
              <w:t>Overføringsgrunnlag (utenfor EØS)</w:t>
            </w:r>
          </w:p>
        </w:tc>
      </w:tr>
      <w:tr w:rsidR="00EA5E12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</w:tr>
      <w:tr w:rsidR="00EA5E12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</w:tr>
      <w:tr w:rsidR="00EA5E12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</w:tr>
      <w:tr w:rsidR="00EA5E12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</w:tr>
      <w:tr w:rsidR="00EA5E12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  <w:tc>
          <w:tcPr>
            <w:tcW w:w="2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A5E12" w:rsidRDefault="00EA5E12"/>
        </w:tc>
      </w:tr>
    </w:tbl>
    <w:p w:rsidR="009674A5" w:rsidRDefault="009674A5"/>
    <w:sectPr w:rsidR="00967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654E4"/>
    <w:multiLevelType w:val="hybridMultilevel"/>
    <w:tmpl w:val="05D4DBAC"/>
    <w:lvl w:ilvl="0" w:tplc="D8B4F7C2">
      <w:start w:val="1"/>
      <w:numFmt w:val="bullet"/>
      <w:lvlText w:val="●"/>
      <w:lvlJc w:val="left"/>
      <w:pPr>
        <w:ind w:left="720" w:hanging="360"/>
      </w:pPr>
    </w:lvl>
    <w:lvl w:ilvl="1" w:tplc="6AEECEE6">
      <w:start w:val="1"/>
      <w:numFmt w:val="bullet"/>
      <w:lvlText w:val="○"/>
      <w:lvlJc w:val="left"/>
      <w:pPr>
        <w:ind w:left="1440" w:hanging="360"/>
      </w:pPr>
    </w:lvl>
    <w:lvl w:ilvl="2" w:tplc="F57E995E">
      <w:start w:val="1"/>
      <w:numFmt w:val="bullet"/>
      <w:lvlText w:val="■"/>
      <w:lvlJc w:val="left"/>
      <w:pPr>
        <w:ind w:left="2160" w:hanging="360"/>
      </w:pPr>
    </w:lvl>
    <w:lvl w:ilvl="3" w:tplc="23F6EA7C">
      <w:start w:val="1"/>
      <w:numFmt w:val="bullet"/>
      <w:lvlText w:val="●"/>
      <w:lvlJc w:val="left"/>
      <w:pPr>
        <w:ind w:left="2880" w:hanging="360"/>
      </w:pPr>
    </w:lvl>
    <w:lvl w:ilvl="4" w:tplc="5C7EDAE6">
      <w:start w:val="1"/>
      <w:numFmt w:val="bullet"/>
      <w:lvlText w:val="○"/>
      <w:lvlJc w:val="left"/>
      <w:pPr>
        <w:ind w:left="3600" w:hanging="360"/>
      </w:pPr>
    </w:lvl>
    <w:lvl w:ilvl="5" w:tplc="338A8728">
      <w:start w:val="1"/>
      <w:numFmt w:val="bullet"/>
      <w:lvlText w:val="■"/>
      <w:lvlJc w:val="left"/>
      <w:pPr>
        <w:ind w:left="4320" w:hanging="360"/>
      </w:pPr>
    </w:lvl>
    <w:lvl w:ilvl="6" w:tplc="93DCF5BE">
      <w:start w:val="1"/>
      <w:numFmt w:val="bullet"/>
      <w:lvlText w:val="●"/>
      <w:lvlJc w:val="left"/>
      <w:pPr>
        <w:ind w:left="5040" w:hanging="360"/>
      </w:pPr>
    </w:lvl>
    <w:lvl w:ilvl="7" w:tplc="18328EC2">
      <w:start w:val="1"/>
      <w:numFmt w:val="bullet"/>
      <w:lvlText w:val="●"/>
      <w:lvlJc w:val="left"/>
      <w:pPr>
        <w:ind w:left="5760" w:hanging="360"/>
      </w:pPr>
    </w:lvl>
    <w:lvl w:ilvl="8" w:tplc="4FFCD64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4F3779"/>
    <w:multiLevelType w:val="hybridMultilevel"/>
    <w:tmpl w:val="AD4A673E"/>
    <w:lvl w:ilvl="0" w:tplc="1E8898A6">
      <w:start w:val="1"/>
      <w:numFmt w:val="bullet"/>
      <w:lvlText w:val="•"/>
      <w:lvlJc w:val="left"/>
      <w:pPr>
        <w:ind w:left="720" w:hanging="360"/>
      </w:pPr>
    </w:lvl>
    <w:lvl w:ilvl="1" w:tplc="818EB900">
      <w:numFmt w:val="decimal"/>
      <w:lvlText w:val=""/>
      <w:lvlJc w:val="left"/>
    </w:lvl>
    <w:lvl w:ilvl="2" w:tplc="D67C0468">
      <w:numFmt w:val="decimal"/>
      <w:lvlText w:val=""/>
      <w:lvlJc w:val="left"/>
    </w:lvl>
    <w:lvl w:ilvl="3" w:tplc="7C10D664">
      <w:numFmt w:val="decimal"/>
      <w:lvlText w:val=""/>
      <w:lvlJc w:val="left"/>
    </w:lvl>
    <w:lvl w:ilvl="4" w:tplc="74CAE4D6">
      <w:numFmt w:val="decimal"/>
      <w:lvlText w:val=""/>
      <w:lvlJc w:val="left"/>
    </w:lvl>
    <w:lvl w:ilvl="5" w:tplc="71624194">
      <w:numFmt w:val="decimal"/>
      <w:lvlText w:val=""/>
      <w:lvlJc w:val="left"/>
    </w:lvl>
    <w:lvl w:ilvl="6" w:tplc="2A5A30B4">
      <w:numFmt w:val="decimal"/>
      <w:lvlText w:val=""/>
      <w:lvlJc w:val="left"/>
    </w:lvl>
    <w:lvl w:ilvl="7" w:tplc="CDE8CA92">
      <w:numFmt w:val="decimal"/>
      <w:lvlText w:val=""/>
      <w:lvlJc w:val="left"/>
    </w:lvl>
    <w:lvl w:ilvl="8" w:tplc="F6D05392">
      <w:numFmt w:val="decimal"/>
      <w:lvlText w:val=""/>
      <w:lvlJc w:val="left"/>
    </w:lvl>
  </w:abstractNum>
  <w:num w:numId="1" w16cid:durableId="1076783394">
    <w:abstractNumId w:val="0"/>
    <w:lvlOverride w:ilvl="0">
      <w:startOverride w:val="1"/>
    </w:lvlOverride>
  </w:num>
  <w:num w:numId="2" w16cid:durableId="12482691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12"/>
    <w:rsid w:val="009674A5"/>
    <w:rsid w:val="00AB5E9F"/>
    <w:rsid w:val="00EA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D0775F-69A6-8840-9185-8D30B81E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  <w:rPr>
      <w:sz w:val="20"/>
      <w:szCs w:val="20"/>
    </w:rPr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  <w:rPr>
      <w:sz w:val="20"/>
      <w:szCs w:val="20"/>
    </w:rPr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1424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valde</cp:lastModifiedBy>
  <cp:revision>2</cp:revision>
  <dcterms:created xsi:type="dcterms:W3CDTF">2026-05-27T17:58:00Z</dcterms:created>
  <dcterms:modified xsi:type="dcterms:W3CDTF">2026-05-27T17:58:00Z</dcterms:modified>
</cp:coreProperties>
</file>