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Plano de Trabalho - Convênio de estágio entre 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(art. 116 da Lei n°. 8.666/93)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 – Identificação do objeto a ser executado;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Convênio de estágio entre o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INSTITUTO FEDERAL DE EDUCAÇÃO CIÊNCIA E TECNOLOGIA DO PARANÁ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 e a Instituição de Ensino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yellow"/>
          <w:u w:val="none"/>
          <w:vertAlign w:val="baseline"/>
          <w:rtl w:val="0"/>
        </w:rPr>
        <w:t xml:space="preserve">RAZÃO SOCIAL DO PARTÍCIPE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, em conformidade com a Lei n° 11.788/2008 e a Resolução IFPR nº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, que tem por finalidade propiciar campo de estágio recíproco para os estudantes de ambas as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INSTITUIÇÕES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, para o desenvolvimento de atividades no âmbito do trabalho, que visem à preparação para o trabalho produtivo por meio de aprimoramento técnico-científico em sua formação e maior proximidade com as condições reais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vertAlign w:val="baseline"/>
          <w:rtl w:val="0"/>
        </w:rPr>
        <w:t xml:space="preserve"> de trabalho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, ocorrendo por intermédio de práticas afins com a natureza e especificidade de cada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II – Metas a serem atingidas: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Ambas as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INSTITUIÇÕES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concordam em efetivar ações pedagógicas com os estudantes 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vertAlign w:val="baseline"/>
          <w:rtl w:val="0"/>
        </w:rPr>
        <w:t xml:space="preserve">por meio de atividades de estágio, visando atingir as seguintes metas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Manter a oferta e o campo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Efetivar atividades teórico-práticas vinculadas ao estágio por meio da promoção de ações de ensino, pesquisa e extensão;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Compartilhar conhecimentos e competências vinculados ao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III – Etapas ou fases de execução;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Formalização e assinatura do termo de convênio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Execução do objeto, objetivando atingir cada meta acordada, ao longo do prazo de execução e de acordo com as possibilidades de cada convenente.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Verificação dos resultados alcançados </w:t>
      </w:r>
      <w:r w:rsidDel="00000000" w:rsidR="00000000" w:rsidRPr="00000000">
        <w:rPr>
          <w:rFonts w:ascii="Arial" w:cs="Arial" w:eastAsia="Arial" w:hAnsi="Arial"/>
          <w:b w:val="0"/>
          <w:sz w:val="21"/>
          <w:szCs w:val="21"/>
          <w:u w:val="none"/>
          <w:vertAlign w:val="baseline"/>
          <w:rtl w:val="0"/>
        </w:rPr>
        <w:t xml:space="preserve">por ambas as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INSTITUIÇÕES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 com avaliação dos benefícios e aspectos a serem melhorados.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IV – Plano de aplicação dos recursos humanos, materiais e financeiros;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Para o cumprimento do objeto, não há repasses financeiros entre as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none"/>
          <w:vertAlign w:val="baseline"/>
          <w:rtl w:val="0"/>
        </w:rPr>
        <w:t xml:space="preserve">INSTITUIÇÕES DE ENSINO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left="567" w:right="0" w:hanging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V – Cronograma de desembolso;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ind w:left="11" w:right="0" w:hanging="11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36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baseline"/>
          <w:rtl w:val="0"/>
        </w:rPr>
        <w:t xml:space="preserve">VI – Cronograma físico, com previsão da conclusão das etapas ou fases programadas e do início e fim da execução;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360" w:lineRule="auto"/>
        <w:ind w:left="11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vertAlign w:val="baseline"/>
          <w:rtl w:val="0"/>
        </w:rPr>
        <w:t xml:space="preserve">O convênio de estágio vigorará pelo prazo de 5 (cinco) anos, contados a partir da data da assinatura, podendo ser prorrogado por meio de termo aditivo, quando a lei assim permitir.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VII – Definição da infraestrutura necessária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Ambas 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INSTITUIÇÕES DE ENSINO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dispõem de toda a infraestrutura necessária para a execução deste convênio de estágio. Caso ocorram modificações das metas propostas e, por consequência, tornar-se necessário infraestrutura adicional, será realizado mediante aditamento deste plano de trabalho e/ou termo de convênio.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1"/>
          <w:szCs w:val="21"/>
          <w:highlight w:val="yellow"/>
          <w:vertAlign w:val="baseline"/>
          <w:rtl w:val="0"/>
        </w:rPr>
        <w:t xml:space="preserve">Optar conforme o caso: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1"/>
          <w:szCs w:val="21"/>
          <w:highlight w:val="yellow"/>
          <w:vertAlign w:val="baseline"/>
          <w:rtl w:val="0"/>
        </w:rPr>
        <w:t xml:space="preserve">Curitiba, (data da assinatura eletrônica).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1"/>
          <w:szCs w:val="21"/>
          <w:highlight w:val="yellow"/>
          <w:vertAlign w:val="baseline"/>
          <w:rtl w:val="0"/>
        </w:rPr>
        <w:t xml:space="preserve">Curitiba, _____ de ________________  de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ind w:left="1418" w:right="0" w:firstLine="709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jc w:val="both"/>
        <w:rPr>
          <w:rFonts w:ascii="Arial" w:cs="Arial" w:eastAsia="Arial" w:hAnsi="Arial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9.0" w:type="dxa"/>
        <w:jc w:val="left"/>
        <w:tblInd w:w="0.0" w:type="dxa"/>
        <w:tblLayout w:type="fixed"/>
        <w:tblLook w:val="0000"/>
      </w:tblPr>
      <w:tblGrid>
        <w:gridCol w:w="3886"/>
        <w:gridCol w:w="714"/>
        <w:gridCol w:w="4329"/>
        <w:tblGridChange w:id="0">
          <w:tblGrid>
            <w:gridCol w:w="3886"/>
            <w:gridCol w:w="714"/>
            <w:gridCol w:w="43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CARGO / FUNÇÃO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IFPR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0"/>
              <w:pageBreakBefore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96" w:right="0" w:hanging="1296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vertAlign w:val="baseline"/>
                <w:rtl w:val="0"/>
              </w:rPr>
              <w:t xml:space="preserve">CARGO / FUNÇÃO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vertAlign w:val="baseline"/>
                <w:rtl w:val="0"/>
              </w:rPr>
              <w:t xml:space="preserve">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570" w:top="992" w:left="1418" w:right="128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INSTITUTO FEDERAL DO PARANÁ | Pró-Reitoria de Ensino - PROENS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4252"/>
        <w:tab w:val="right" w:pos="91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Rua Emílio Bertolini, 54, Cajuru, Curitiba/PR, CEP 82.920-030 – www.ifpr.edu.br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42862</wp:posOffset>
          </wp:positionH>
          <wp:positionV relativeFrom="paragraph">
            <wp:posOffset>0</wp:posOffset>
          </wp:positionV>
          <wp:extent cx="5753735" cy="67310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735" cy="673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right"/>
      <w:rPr>
        <w:rFonts w:ascii="Arial" w:cs="Arial" w:eastAsia="Arial" w:hAnsi="Arial"/>
        <w:b w:val="1"/>
        <w:sz w:val="28"/>
        <w:szCs w:val="28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-306704</wp:posOffset>
          </wp:positionH>
          <wp:positionV relativeFrom="paragraph">
            <wp:posOffset>8321675</wp:posOffset>
          </wp:positionV>
          <wp:extent cx="368300" cy="66738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377" l="-683" r="-682" t="-377"/>
                  <a:stretch>
                    <a:fillRect/>
                  </a:stretch>
                </pic:blipFill>
                <pic:spPr>
                  <a:xfrm>
                    <a:off x="0" y="0"/>
                    <a:ext cx="368300" cy="6673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sz w:val="21"/>
        <w:szCs w:val="21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sz w:val="21"/>
        <w:szCs w:val="21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425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567" w:firstLineChars="-1"/>
      <w:jc w:val="both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4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3828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2835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1"/>
      <w:numPr>
        <w:ilvl w:val="6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numPr>
        <w:ilvl w:val="7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851" w:firstLineChars="-1"/>
      <w:textDirection w:val="btLr"/>
      <w:textAlignment w:val="top"/>
      <w:outlineLvl w:val="7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Times New Roman" w:cs="Times New Roman" w:eastAsia="Times New Roman" w:hAnsi="Times New Roman"/>
      <w:b w:val="1"/>
      <w:w w:val="100"/>
      <w:kern w:val="2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Arial" w:cs="Arial" w:hAnsi="Arial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eastAsia="Arial" w:hAnsi="Arial"/>
      <w:iCs w:val="1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Arial" w:cs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mbria" w:cs="Times New Roman" w:eastAsia="Times New Roman" w:hAnsi="Cambria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mbria" w:cs="Times New Roman" w:eastAsia="Times New Roman" w:hAnsi="Cambria"/>
      <w:i w:val="1"/>
      <w:iCs w:val="1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Subtítul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320"/>
        <w:tab w:val="right" w:leader="none" w:pos="864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4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Capítulo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42" w:right="0" w:leftChars="-1" w:rightChars="0" w:firstLine="1276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otexto"/>
    <w:next w:val="Conteúdodoquadr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àesquerda">
    <w:name w:val="Cabeçalho à esquerda"/>
    <w:basedOn w:val="Normal"/>
    <w:next w:val="Cabeçalhoàesquerda"/>
    <w:autoRedefine w:val="0"/>
    <w:hidden w:val="0"/>
    <w:qFormat w:val="0"/>
    <w:pPr>
      <w:widowControl w:val="1"/>
      <w:suppressLineNumbers w:val="1"/>
      <w:tabs>
        <w:tab w:val="center" w:leader="none" w:pos="4535"/>
        <w:tab w:val="right" w:leader="none" w:pos="907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CdDRYLRljcL68PQ9lYbLBvsAg==">AMUW2mVdJXYx3XSvgrSb3QGKx/iGoYjpoIsxqmDWGWnrZrOpo8earHV6/XTpuOhOrwgFpZO4aU8/fU4wH4wUQ1ZT8/wWoDeFdWsOJeerw9GsMKMLg1Sdb10=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2017-04-03T19:54:00Z</dcterms:created>
  <dc:creator>Prop01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