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Organization Comment Template: Nursing Organizations and Associations</w:t>
      </w:r>
    </w:p>
    <w:p w:rsidR="00000000" w:rsidDel="00000000" w:rsidP="00000000" w:rsidRDefault="00000000" w:rsidRPr="00000000" w14:paraId="00000002">
      <w:pPr>
        <w:pStyle w:val="Heading2"/>
        <w:rPr/>
      </w:pPr>
      <w:r w:rsidDel="00000000" w:rsidR="00000000" w:rsidRPr="00000000">
        <w:rPr>
          <w:rtl w:val="0"/>
        </w:rPr>
        <w:t xml:space="preserve">For professional associations, specialty organizations, credentialing bodies, schools of nursing, and state nurses associations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Due September 14, 2026, 11:59 p.m. ET · Submit at </w:t>
      </w:r>
      <w:hyperlink r:id="rId7">
        <w:r w:rsidDel="00000000" w:rsidR="00000000" w:rsidRPr="00000000">
          <w:rPr>
            <w:rFonts w:ascii="Cambria" w:cs="Cambria" w:eastAsia="Cambria" w:hAnsi="Cambria"/>
            <w:b w:val="0"/>
            <w:bCs w:val="0"/>
            <w:i w:val="1"/>
            <w:iCs w:val="1"/>
            <w:smallCaps w:val="0"/>
            <w:strike w:val="0"/>
            <w:color w:val="1155cc"/>
            <w:sz w:val="24"/>
            <w:szCs w:val="24"/>
            <w:u w:val="single"/>
            <w:shd w:fill="auto" w:val="clear"/>
            <w:vertAlign w:val="baseline"/>
            <w:rtl w:val="0"/>
          </w:rPr>
          <w:t xml:space="preserve">www.regulations.gov/docket/CMS-2026-2377</w:t>
        </w:r>
      </w:hyperlink>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  · File code CMS-1848-P</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How to use this template.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Highlighted text marks fields to personalize. Organizational letters are read for two things CMS cannot get from individuals: the size and character of the constituency you speak for, and the professional standards your organization maintains. Lead with both. Select two to four talking points from the section that follows rather than including all of them; a focused letter is more persuasive than a comprehensive one.</w:t>
      </w:r>
    </w:p>
    <w:p w:rsidR="00000000" w:rsidDel="00000000" w:rsidP="00000000" w:rsidRDefault="00000000" w:rsidRPr="00000000" w14:paraId="00000005">
      <w:pPr>
        <w:rPr/>
      </w:pPr>
      <w:r w:rsidDel="00000000" w:rsidR="00000000" w:rsidRPr="00000000">
        <w:br w:type="page"/>
      </w:r>
      <w:r w:rsidDel="00000000" w:rsidR="00000000" w:rsidRPr="00000000">
        <w:rPr>
          <w:rtl w:val="0"/>
        </w:rPr>
      </w:r>
    </w:p>
    <w:bookmarkStart w:colFirst="0" w:colLast="0" w:name="bookmark=id.ovlmtc9v3vp3" w:id="0"/>
    <w:bookmarkEnd w:id="0"/>
    <w:p w:rsidR="00000000" w:rsidDel="00000000" w:rsidP="00000000" w:rsidRDefault="00000000" w:rsidRPr="00000000" w14:paraId="00000006">
      <w:pPr>
        <w:pStyle w:val="Heading1"/>
        <w:rPr/>
      </w:pPr>
      <w:r w:rsidDel="00000000" w:rsidR="00000000" w:rsidRPr="00000000">
        <w:rPr>
          <w:rtl w:val="0"/>
        </w:rPr>
        <w:t xml:space="preserve">Comment Letter</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[Date]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Centers for Medicare &amp; Medicaid Services</w:t>
        <w:br w:type="textWrapping"/>
        <w:t xml:space="preserve">Department of Health and Human Services</w:t>
        <w:br w:type="textWrapping"/>
        <w:t xml:space="preserve">Attention: CMS-1848-P</w:t>
        <w:br w:type="textWrapping"/>
        <w:t xml:space="preserve">P.O. Box 8016, Baltimore, MD 21244-8016</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Submitted electronically via www.regulations.gov</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Re: CY 2027 Payment Policies under the Physician Fee Schedule (CMS-1848-P), 91 FR 43842, Section II.D.3.c.(56), Health Coaching (CPT codes 0591T, 0592T, and 0593T): Conditions of Payment and Supervision Requirements</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Dear Administrator: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On behalf of </w:t>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[ORGANIZATION NAME]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which represents </w:t>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[number and description of members: for example, “approximately 4,200 registered nurses practicing in 38 states,” “board-certified Nurse Coaches nationally,” “nursing faculty and students at accredited programs”]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I write in strong support of CMS’s proposal to establish national payment for CPT codes 0591T, 0592T, and 0593T. We commend CMS for responding to the prior Request for Information and for recognizing the American Holistic Nurses Credentialing Corporation (AHNCC) national standards for Certified Nurse Coaches among the accepted certifications.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We respectfully urge CMS to revise one condition of payment. Where the individual furnishing the service is a licensed Registered Nurse or Advanced Practice Registered Nurse holding AHNCC board certification as a Nurse Coach (NC-BC or HWNC-BC), practitioner supervision is unnecessary, duplicative of state licensure oversight, and an avoidable barrier to beneficiary access.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[Insert two to four talking points from the sections below, in your own words, plus one concrete example from your organization’s membership or programs: a member’s practice, a workforce statistic, an outcome from a program your organization accredits or operates.]</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We appreciate CMS’s leadership in advancing prevention, chronic disease management, and whole-person care, and we welcome the opportunity to provide further information.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Respectfully submitted,</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[Name, credentials]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[Title]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[Organization]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[Address, phone, email]</w:t>
      </w:r>
      <w:r w:rsidDel="00000000" w:rsidR="00000000" w:rsidRPr="00000000">
        <w:rPr>
          <w:rtl w:val="0"/>
        </w:rPr>
      </w:r>
    </w:p>
    <w:p w:rsidR="00000000" w:rsidDel="00000000" w:rsidP="00000000" w:rsidRDefault="00000000" w:rsidRPr="00000000" w14:paraId="00000012">
      <w:pPr>
        <w:rPr/>
      </w:pPr>
      <w:r w:rsidDel="00000000" w:rsidR="00000000" w:rsidRPr="00000000">
        <w:br w:type="page"/>
      </w:r>
      <w:r w:rsidDel="00000000" w:rsidR="00000000" w:rsidRPr="00000000">
        <w:rPr>
          <w:rtl w:val="0"/>
        </w:rPr>
      </w:r>
    </w:p>
    <w:bookmarkStart w:colFirst="0" w:colLast="0" w:name="bookmark=id.gbml7hpjy68j" w:id="1"/>
    <w:bookmarkEnd w:id="1"/>
    <w:p w:rsidR="00000000" w:rsidDel="00000000" w:rsidP="00000000" w:rsidRDefault="00000000" w:rsidRPr="00000000" w14:paraId="00000013">
      <w:pPr>
        <w:pStyle w:val="Heading1"/>
        <w:rPr/>
      </w:pPr>
      <w:r w:rsidDel="00000000" w:rsidR="00000000" w:rsidRPr="00000000">
        <w:rPr>
          <w:rtl w:val="0"/>
        </w:rPr>
        <w:t xml:space="preserve">Talking points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Adapt these into your own language. Direct reuse across many letters reduces their weight.</w:t>
      </w:r>
      <w:r w:rsidDel="00000000" w:rsidR="00000000" w:rsidRPr="00000000">
        <w:rPr>
          <w:rtl w:val="0"/>
        </w:rPr>
      </w:r>
    </w:p>
    <w:bookmarkStart w:colFirst="0" w:colLast="0" w:name="bookmark=id.8akuuza6qzyn" w:id="2"/>
    <w:bookmarkEnd w:id="2"/>
    <w:p w:rsidR="00000000" w:rsidDel="00000000" w:rsidP="00000000" w:rsidRDefault="00000000" w:rsidRPr="00000000" w14:paraId="00000015">
      <w:pPr>
        <w:pStyle w:val="Heading2"/>
        <w:rPr/>
      </w:pPr>
      <w:r w:rsidDel="00000000" w:rsidR="00000000" w:rsidRPr="00000000">
        <w:rPr>
          <w:rtl w:val="0"/>
        </w:rPr>
        <w:t xml:space="preserve">1. Registered Nurses are licensed professionals, not unlicensed auxiliary personnel</w:t>
      </w:r>
    </w:p>
    <w:p w:rsidR="00000000" w:rsidDel="00000000" w:rsidP="00000000" w:rsidRDefault="00000000" w:rsidRPr="00000000" w14:paraId="00000016">
      <w:pPr>
        <w:numPr>
          <w:ilvl w:val="0"/>
          <w:numId w:val="1"/>
        </w:numPr>
        <w:ind w:left="720" w:hanging="480"/>
        <w:rPr/>
      </w:pPr>
      <w:r w:rsidDel="00000000" w:rsidR="00000000" w:rsidRPr="00000000">
        <w:rPr>
          <w:rtl w:val="0"/>
        </w:rPr>
        <w:t xml:space="preserve">The proposal treats all individuals furnishing 0591T–0593T as auxiliary personnel requiring supervision by the billing practitioner under § 410.26(a)(3). That framing is appropriate for coaches whose only accountability mechanism is third-party certification. It does not fit Registered Nurses or Advanced Practice Registered Nurses.</w:t>
      </w:r>
    </w:p>
    <w:p w:rsidR="00000000" w:rsidDel="00000000" w:rsidP="00000000" w:rsidRDefault="00000000" w:rsidRPr="00000000" w14:paraId="00000017">
      <w:pPr>
        <w:numPr>
          <w:ilvl w:val="0"/>
          <w:numId w:val="1"/>
        </w:numPr>
        <w:ind w:left="720" w:hanging="480"/>
        <w:rPr/>
      </w:pPr>
      <w:r w:rsidDel="00000000" w:rsidR="00000000" w:rsidRPr="00000000">
        <w:rPr>
          <w:rtl w:val="0"/>
        </w:rPr>
        <w:t xml:space="preserve">Nurses hold an independent, state-issued license; practice within a legally defined scope; complete accredited academic preparation in the biological, behavioral, and social sciences; pass a national licensure examination; and remain accountable to state boards of nursing with continuing-education and disciplinary authority.</w:t>
      </w:r>
    </w:p>
    <w:p w:rsidR="00000000" w:rsidDel="00000000" w:rsidP="00000000" w:rsidRDefault="00000000" w:rsidRPr="00000000" w14:paraId="00000018">
      <w:pPr>
        <w:numPr>
          <w:ilvl w:val="0"/>
          <w:numId w:val="1"/>
        </w:numPr>
        <w:ind w:left="720" w:hanging="480"/>
        <w:rPr/>
      </w:pPr>
      <w:r w:rsidDel="00000000" w:rsidR="00000000" w:rsidRPr="00000000">
        <w:rPr>
          <w:rtl w:val="0"/>
        </w:rPr>
        <w:t xml:space="preserve">Health promotion, patient education, and behavior-change counseling are core independent functions of nursing practice under every state nurse practice act. No state requires supervision for a Registered Nurse to perform these interventions.</w:t>
      </w:r>
    </w:p>
    <w:p w:rsidR="00000000" w:rsidDel="00000000" w:rsidP="00000000" w:rsidRDefault="00000000" w:rsidRPr="00000000" w14:paraId="00000019">
      <w:pPr>
        <w:numPr>
          <w:ilvl w:val="0"/>
          <w:numId w:val="1"/>
        </w:numPr>
        <w:ind w:left="720" w:hanging="480"/>
        <w:rPr/>
      </w:pPr>
      <w:r w:rsidDel="00000000" w:rsidR="00000000" w:rsidRPr="00000000">
        <w:rPr>
          <w:rtl w:val="0"/>
        </w:rPr>
        <w:t xml:space="preserve">Conditioning payment on supervision of a service already within the nurse’s independent licensed scope subordinates state licensure law to a payment rule and adds oversight that provides no additional patient protection.</w:t>
      </w:r>
    </w:p>
    <w:bookmarkStart w:colFirst="0" w:colLast="0" w:name="bookmark=id.prqz0dv3d1rg" w:id="3"/>
    <w:bookmarkEnd w:id="3"/>
    <w:p w:rsidR="00000000" w:rsidDel="00000000" w:rsidP="00000000" w:rsidRDefault="00000000" w:rsidRPr="00000000" w14:paraId="0000001A">
      <w:pPr>
        <w:pStyle w:val="Heading2"/>
        <w:rPr/>
      </w:pPr>
      <w:r w:rsidDel="00000000" w:rsidR="00000000" w:rsidRPr="00000000">
        <w:rPr>
          <w:rtl w:val="0"/>
        </w:rPr>
        <w:t xml:space="preserve">2. Nurse Coaching is a nursing specialty with published scope, standards, and competencies</w:t>
      </w:r>
    </w:p>
    <w:p w:rsidR="00000000" w:rsidDel="00000000" w:rsidP="00000000" w:rsidRDefault="00000000" w:rsidRPr="00000000" w14:paraId="0000001B">
      <w:pPr>
        <w:numPr>
          <w:ilvl w:val="0"/>
          <w:numId w:val="2"/>
        </w:numPr>
        <w:ind w:left="720" w:hanging="480"/>
        <w:rPr/>
      </w:pPr>
      <w:r w:rsidDel="00000000" w:rsidR="00000000" w:rsidRPr="00000000">
        <w:rPr>
          <w:rtl w:val="0"/>
        </w:rPr>
        <w:t xml:space="preserve">Nurse Coaching is a recognized specialty of professional nursing with published scope and standards, defined competencies, and a foundation in nursing theory, behavior-change science, and coaching methodology including motivational interviewing.</w:t>
      </w:r>
    </w:p>
    <w:p w:rsidR="00000000" w:rsidDel="00000000" w:rsidP="00000000" w:rsidRDefault="00000000" w:rsidRPr="00000000" w14:paraId="0000001C">
      <w:pPr>
        <w:numPr>
          <w:ilvl w:val="0"/>
          <w:numId w:val="2"/>
        </w:numPr>
        <w:ind w:left="720" w:hanging="480"/>
        <w:rPr/>
      </w:pPr>
      <w:r w:rsidDel="00000000" w:rsidR="00000000" w:rsidRPr="00000000">
        <w:rPr>
          <w:rtl w:val="0"/>
        </w:rPr>
        <w:t xml:space="preserve">AHNCC board certification, which CMS proposes to recognize, requires an active unrestricted RN or APRN license, documented practice experience, dedicated Nurse Coach education, supervised coaching practice hours, a national certification examination, and ongoing recertification.</w:t>
      </w:r>
    </w:p>
    <w:p w:rsidR="00000000" w:rsidDel="00000000" w:rsidP="00000000" w:rsidRDefault="00000000" w:rsidRPr="00000000" w14:paraId="0000001D">
      <w:pPr>
        <w:numPr>
          <w:ilvl w:val="0"/>
          <w:numId w:val="2"/>
        </w:numPr>
        <w:ind w:left="720" w:hanging="480"/>
        <w:rPr/>
      </w:pPr>
      <w:r w:rsidDel="00000000" w:rsidR="00000000" w:rsidRPr="00000000">
        <w:rPr>
          <w:rtl w:val="0"/>
        </w:rPr>
        <w:t xml:space="preserve">This pathway parallels the third-party certification standards CMS cites for other health coaches and exceeds them, because it is anchored to an underlying clinical license. It is internally inconsistent to accept AHNCC certification as evidence of competency while simultaneously requiring the certified nurse to be supervised as though competency were in doubt.</w:t>
      </w:r>
    </w:p>
    <w:p w:rsidR="00000000" w:rsidDel="00000000" w:rsidP="00000000" w:rsidRDefault="00000000" w:rsidRPr="00000000" w14:paraId="0000001E">
      <w:pPr>
        <w:numPr>
          <w:ilvl w:val="0"/>
          <w:numId w:val="2"/>
        </w:numPr>
        <w:ind w:left="720" w:hanging="480"/>
        <w:rPr/>
      </w:pPr>
      <w:r w:rsidDel="00000000" w:rsidR="00000000" w:rsidRPr="00000000">
        <w:rPr>
          <w:rtl w:val="0"/>
        </w:rPr>
        <w:t xml:space="preserve">CMS’s own adopted CPT prefatory language contemplates this. It describes the qualified coach as qualified “by education, training, national examination and, when applicable, licensure/regulation.” For a nurse, licensure is not incidental. It is the primary accountability structure.</w:t>
      </w:r>
    </w:p>
    <w:bookmarkStart w:colFirst="0" w:colLast="0" w:name="bookmark=id.6haf5mnruel" w:id="4"/>
    <w:bookmarkEnd w:id="4"/>
    <w:p w:rsidR="00000000" w:rsidDel="00000000" w:rsidP="00000000" w:rsidRDefault="00000000" w:rsidRPr="00000000" w14:paraId="0000001F">
      <w:pPr>
        <w:pStyle w:val="Heading2"/>
        <w:rPr/>
      </w:pPr>
      <w:r w:rsidDel="00000000" w:rsidR="00000000" w:rsidRPr="00000000">
        <w:rPr>
          <w:rtl w:val="0"/>
        </w:rPr>
        <w:t xml:space="preserve">3. The proposed supervision framework is internally inconsistent</w:t>
      </w:r>
    </w:p>
    <w:p w:rsidR="00000000" w:rsidDel="00000000" w:rsidP="00000000" w:rsidRDefault="00000000" w:rsidRPr="00000000" w14:paraId="00000020">
      <w:pPr>
        <w:numPr>
          <w:ilvl w:val="0"/>
          <w:numId w:val="3"/>
        </w:numPr>
        <w:ind w:left="720" w:hanging="480"/>
        <w:rPr/>
      </w:pPr>
      <w:r w:rsidDel="00000000" w:rsidR="00000000" w:rsidRPr="00000000">
        <w:rPr>
          <w:rtl w:val="0"/>
        </w:rPr>
        <w:t xml:space="preserve">CMS proposes to crosswalk the valuation of 0591T and 0592T to Chronic Care Management codes 99490 and 99439 on the express basis that those visit-based services are furnished under general supervision, yet proposes direct supervision as the condition of payment for the coaching codes themselves.</w:t>
      </w:r>
    </w:p>
    <w:p w:rsidR="00000000" w:rsidDel="00000000" w:rsidP="00000000" w:rsidRDefault="00000000" w:rsidRPr="00000000" w14:paraId="00000021">
      <w:pPr>
        <w:numPr>
          <w:ilvl w:val="0"/>
          <w:numId w:val="3"/>
        </w:numPr>
        <w:ind w:left="720" w:hanging="480"/>
        <w:rPr/>
      </w:pPr>
      <w:r w:rsidDel="00000000" w:rsidR="00000000" w:rsidRPr="00000000">
        <w:rPr>
          <w:rtl w:val="0"/>
        </w:rPr>
        <w:t xml:space="preserve">The rule would permit coaches employed by community-based organizations to operate under general supervision, while a board-certified nurse employed in a practice setting would require direct supervision. The setting of employment, rather than licensure, training, or certification, would determine the level of oversight.</w:t>
      </w:r>
    </w:p>
    <w:p w:rsidR="00000000" w:rsidDel="00000000" w:rsidP="00000000" w:rsidRDefault="00000000" w:rsidRPr="00000000" w14:paraId="00000022">
      <w:pPr>
        <w:numPr>
          <w:ilvl w:val="0"/>
          <w:numId w:val="3"/>
        </w:numPr>
        <w:ind w:left="720" w:hanging="480"/>
        <w:rPr/>
      </w:pPr>
      <w:r w:rsidDel="00000000" w:rsidR="00000000" w:rsidRPr="00000000">
        <w:rPr>
          <w:rtl w:val="0"/>
        </w:rPr>
        <w:t xml:space="preserve">Registered Nurses already furnish chronic care management, behavioral health integration, and principal care management services under general supervision. There is no clinical rationale for holding coaching, a lower-risk, conversation-based service, to a stricter standard.</w:t>
      </w:r>
    </w:p>
    <w:bookmarkStart w:colFirst="0" w:colLast="0" w:name="bookmark=id.bmomd36l6upf" w:id="5"/>
    <w:bookmarkEnd w:id="5"/>
    <w:p w:rsidR="00000000" w:rsidDel="00000000" w:rsidP="00000000" w:rsidRDefault="00000000" w:rsidRPr="00000000" w14:paraId="00000023">
      <w:pPr>
        <w:pStyle w:val="Heading2"/>
        <w:rPr/>
      </w:pPr>
      <w:r w:rsidDel="00000000" w:rsidR="00000000" w:rsidRPr="00000000">
        <w:rPr>
          <w:rtl w:val="0"/>
        </w:rPr>
        <w:t xml:space="preserve">4. Supervision restricts access where access matters most</w:t>
      </w:r>
    </w:p>
    <w:p w:rsidR="00000000" w:rsidDel="00000000" w:rsidP="00000000" w:rsidRDefault="00000000" w:rsidRPr="00000000" w14:paraId="00000024">
      <w:pPr>
        <w:numPr>
          <w:ilvl w:val="0"/>
          <w:numId w:val="4"/>
        </w:numPr>
        <w:ind w:left="720" w:hanging="480"/>
        <w:rPr/>
      </w:pPr>
      <w:r w:rsidDel="00000000" w:rsidR="00000000" w:rsidRPr="00000000">
        <w:rPr>
          <w:rtl w:val="0"/>
        </w:rPr>
        <w:t xml:space="preserve">Effective January 1, 2026, direct supervision may be satisfied through real-time audio-video presence. This helps at the margins but does not solve the problem: a billing practitioner must still be immediately available for the duration of every session, which constrains scheduling, complicates group delivery under 0593T, and makes nurse-led programs dependent on a second professional’s availability.</w:t>
      </w:r>
    </w:p>
    <w:p w:rsidR="00000000" w:rsidDel="00000000" w:rsidP="00000000" w:rsidRDefault="00000000" w:rsidRPr="00000000" w14:paraId="00000025">
      <w:pPr>
        <w:numPr>
          <w:ilvl w:val="0"/>
          <w:numId w:val="4"/>
        </w:numPr>
        <w:ind w:left="720" w:hanging="480"/>
        <w:rPr/>
      </w:pPr>
      <w:r w:rsidDel="00000000" w:rsidR="00000000" w:rsidRPr="00000000">
        <w:rPr>
          <w:rtl w:val="0"/>
        </w:rPr>
        <w:t xml:space="preserve">Nurses practice in every community and care setting, including rural and underserved areas where practitioner availability is scarcest and Medicare and Medicaid enrollment is highest. Conditioning nurse-furnished coaching on practitioner supervision concentrates access in well-resourced settings.</w:t>
      </w:r>
    </w:p>
    <w:p w:rsidR="00000000" w:rsidDel="00000000" w:rsidP="00000000" w:rsidRDefault="00000000" w:rsidRPr="00000000" w14:paraId="00000026">
      <w:pPr>
        <w:numPr>
          <w:ilvl w:val="0"/>
          <w:numId w:val="4"/>
        </w:numPr>
        <w:ind w:left="720" w:hanging="480"/>
        <w:rPr/>
      </w:pPr>
      <w:r w:rsidDel="00000000" w:rsidR="00000000" w:rsidRPr="00000000">
        <w:rPr>
          <w:rtl w:val="0"/>
        </w:rPr>
        <w:t xml:space="preserve">These codes are on the Medicare Telehealth Services List. Tying them to a supervising practitioner’s real-time availability undercuts the telehealth delivery that older and mobility-limited beneficiaries rely on.</w:t>
      </w:r>
    </w:p>
    <w:bookmarkStart w:colFirst="0" w:colLast="0" w:name="bookmark=id.my1ooq6tdv99" w:id="6"/>
    <w:bookmarkEnd w:id="6"/>
    <w:p w:rsidR="00000000" w:rsidDel="00000000" w:rsidP="00000000" w:rsidRDefault="00000000" w:rsidRPr="00000000" w14:paraId="00000027">
      <w:pPr>
        <w:pStyle w:val="Heading2"/>
        <w:rPr/>
      </w:pPr>
      <w:r w:rsidDel="00000000" w:rsidR="00000000" w:rsidRPr="00000000">
        <w:rPr>
          <w:rtl w:val="0"/>
        </w:rPr>
        <w:t xml:space="preserve">5. Nurse-furnished coaching strengthens patient safety</w:t>
      </w:r>
    </w:p>
    <w:p w:rsidR="00000000" w:rsidDel="00000000" w:rsidP="00000000" w:rsidRDefault="00000000" w:rsidRPr="00000000" w14:paraId="00000028">
      <w:pPr>
        <w:numPr>
          <w:ilvl w:val="0"/>
          <w:numId w:val="5"/>
        </w:numPr>
        <w:ind w:left="720" w:hanging="480"/>
        <w:rPr/>
      </w:pPr>
      <w:r w:rsidDel="00000000" w:rsidR="00000000" w:rsidRPr="00000000">
        <w:rPr>
          <w:rtl w:val="0"/>
        </w:rPr>
        <w:t xml:space="preserve">When a beneficiary receives coaching from a licensed nurse, the service is furnished by a clinician who recognizes warning signs, understands comorbidities and medications, coordinates with the care team, and escalates appropriately. These are capabilities a supervision requirement cannot add and a certification-only coach does not possess.</w:t>
      </w:r>
    </w:p>
    <w:p w:rsidR="00000000" w:rsidDel="00000000" w:rsidP="00000000" w:rsidRDefault="00000000" w:rsidRPr="00000000" w14:paraId="00000029">
      <w:pPr>
        <w:numPr>
          <w:ilvl w:val="0"/>
          <w:numId w:val="5"/>
        </w:numPr>
        <w:ind w:left="720" w:hanging="480"/>
        <w:rPr/>
      </w:pPr>
      <w:r w:rsidDel="00000000" w:rsidR="00000000" w:rsidRPr="00000000">
        <w:rPr>
          <w:rtl w:val="0"/>
        </w:rPr>
        <w:t xml:space="preserve">Nursing has been rated the most trusted profession in the United States for more than two decades. Trust is itself a clinical asset in coaching, where the therapeutic relationship drives behavior change.</w:t>
      </w:r>
    </w:p>
    <w:bookmarkStart w:colFirst="0" w:colLast="0" w:name="bookmark=id.2v8qd3x31ew1" w:id="7"/>
    <w:bookmarkEnd w:id="7"/>
    <w:p w:rsidR="00000000" w:rsidDel="00000000" w:rsidP="00000000" w:rsidRDefault="00000000" w:rsidRPr="00000000" w14:paraId="0000002A">
      <w:pPr>
        <w:pStyle w:val="Heading2"/>
        <w:rPr/>
      </w:pPr>
      <w:r w:rsidDel="00000000" w:rsidR="00000000" w:rsidRPr="00000000">
        <w:rPr>
          <w:rtl w:val="0"/>
        </w:rPr>
        <w:t xml:space="preserve">6. The ANA Code of Ethics vests authority for nursing practice in the nurse</w:t>
      </w:r>
    </w:p>
    <w:p w:rsidR="00000000" w:rsidDel="00000000" w:rsidP="00000000" w:rsidRDefault="00000000" w:rsidRPr="00000000" w14:paraId="0000002B">
      <w:pPr>
        <w:numPr>
          <w:ilvl w:val="0"/>
          <w:numId w:val="6"/>
        </w:numPr>
        <w:ind w:left="720" w:hanging="480"/>
        <w:rPr/>
      </w:pPr>
      <w:r w:rsidDel="00000000" w:rsidR="00000000" w:rsidRPr="00000000">
        <w:rPr>
          <w:rtl w:val="0"/>
        </w:rPr>
        <w:t xml:space="preserve">Provision 4 of the American Nurses Association </w:t>
      </w:r>
      <w:r w:rsidDel="00000000" w:rsidR="00000000" w:rsidRPr="00000000">
        <w:rPr>
          <w:i w:val="1"/>
          <w:iCs w:val="1"/>
          <w:rtl w:val="0"/>
        </w:rPr>
        <w:t xml:space="preserve">Code of Ethics for Nurses</w:t>
      </w:r>
      <w:r w:rsidDel="00000000" w:rsidR="00000000" w:rsidRPr="00000000">
        <w:rPr>
          <w:rtl w:val="0"/>
        </w:rPr>
        <w:t xml:space="preserve"> provides that “nurses have authority over nursing practice” and are responsible and accountable for it. A supervision requirement is inconsistent with that nationally recognized professional standard.</w:t>
      </w:r>
    </w:p>
    <w:p w:rsidR="00000000" w:rsidDel="00000000" w:rsidP="00000000" w:rsidRDefault="00000000" w:rsidRPr="00000000" w14:paraId="0000002C">
      <w:pPr>
        <w:numPr>
          <w:ilvl w:val="0"/>
          <w:numId w:val="6"/>
        </w:numPr>
        <w:ind w:left="720" w:hanging="480"/>
        <w:rPr/>
      </w:pPr>
      <w:r w:rsidDel="00000000" w:rsidR="00000000" w:rsidRPr="00000000">
        <w:rPr>
          <w:rtl w:val="0"/>
        </w:rPr>
        <w:t xml:space="preserve">Provision 8 affirms that nurses build collaborative relationships across healthcare and non-healthcare disciplines to achieve greater ends. Removing the supervision requirement does not remove the nurse from the care team; it recognizes the nurse as a full partner in it.</w:t>
      </w:r>
    </w:p>
    <w:bookmarkStart w:colFirst="0" w:colLast="0" w:name="bookmark=id.jw653ztq39cs" w:id="8"/>
    <w:bookmarkEnd w:id="8"/>
    <w:p w:rsidR="00000000" w:rsidDel="00000000" w:rsidP="00000000" w:rsidRDefault="00000000" w:rsidRPr="00000000" w14:paraId="0000002D">
      <w:pPr>
        <w:pStyle w:val="Heading1"/>
        <w:rPr/>
      </w:pPr>
      <w:r w:rsidDel="00000000" w:rsidR="00000000" w:rsidRPr="00000000">
        <w:rPr>
          <w:rtl w:val="0"/>
        </w:rPr>
        <w:t xml:space="preserve">Requests to CMS</w:t>
      </w:r>
    </w:p>
    <w:p w:rsidR="00000000" w:rsidDel="00000000" w:rsidP="00000000" w:rsidRDefault="00000000" w:rsidRPr="00000000" w14:paraId="000000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Finalize national payment for CPT codes 0591T, 0592T, and 0593T as proposed.</w:t>
      </w:r>
    </w:p>
    <w:p w:rsidR="00000000" w:rsidDel="00000000" w:rsidP="00000000" w:rsidRDefault="00000000" w:rsidRPr="00000000" w14:paraId="0000002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Remove the practitioner-supervision condition of payment for services furnished by licensed RNs and APRNs holding AHNCC national board certification (NC-BC, HWNC-BC), deferring instead to state licensure and scope-of-practice law.</w:t>
      </w:r>
    </w:p>
    <w:p w:rsidR="00000000" w:rsidDel="00000000" w:rsidP="00000000" w:rsidRDefault="00000000" w:rsidRPr="00000000" w14:paraId="000000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If CMS retains a supervision condition, apply general rather than direct supervision, consistent with the CCM crosswalk and with the general supervision permitted for CBO-employed coaches.</w:t>
      </w:r>
    </w:p>
    <w:p w:rsidR="00000000" w:rsidDel="00000000" w:rsidP="00000000" w:rsidRDefault="00000000" w:rsidRPr="00000000" w14:paraId="000000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Name AHNCC board-certified Nurse Coaches explicitly among qualified personnel, and if CMS establishes HCPCS G-codes for these services for CY 2027, establish a pathway for licensed Nurse Coaches to furnish and bill them directly.</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Preserve individual coaching, group coaching, and telehealth delivery to maximize access.</w:t>
      </w:r>
    </w:p>
    <w:bookmarkStart w:colFirst="0" w:colLast="0" w:name="bookmark=id.dox55ymvs146" w:id="9"/>
    <w:bookmarkEnd w:id="9"/>
    <w:p w:rsidR="00000000" w:rsidDel="00000000" w:rsidP="00000000" w:rsidRDefault="00000000" w:rsidRPr="00000000" w14:paraId="00000033">
      <w:pPr>
        <w:pStyle w:val="Heading1"/>
        <w:rPr/>
      </w:pPr>
      <w:r w:rsidDel="00000000" w:rsidR="00000000" w:rsidRPr="00000000">
        <w:rPr>
          <w:rtl w:val="0"/>
        </w:rPr>
        <w:t xml:space="preserve">Quick reference: what the proposed rule says</w:t>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CMS proposes national payment and valuation for 0591T (initial assessment, 60–90 minutes; work RVU 1.00), 0592T (follow-up, at least 30 minutes; 0.70), and 0593T (group, at least 30 minutes; 0.23), with no frequency limitations.</w:t>
      </w:r>
    </w:p>
    <w:p w:rsidR="00000000" w:rsidDel="00000000" w:rsidP="00000000" w:rsidRDefault="00000000" w:rsidRPr="00000000" w14:paraId="000000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Proposed condition of payment: services performed under direct supervision of the billing practitioner per § 410.26(a)(3), with AHNCC national standards for Certified Nurse Coaches among the accepted certifications for auxiliary personnel.</w:t>
      </w:r>
    </w:p>
    <w:p w:rsidR="00000000" w:rsidDel="00000000" w:rsidP="00000000" w:rsidRDefault="00000000" w:rsidRPr="00000000" w14:paraId="000000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Coaches employed by community-based organizations may operate under general supervision where training and certification guidelines are met.</w:t>
      </w:r>
    </w:p>
    <w:p w:rsidR="00000000" w:rsidDel="00000000" w:rsidP="00000000" w:rsidRDefault="00000000" w:rsidRPr="00000000" w14:paraId="000000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Valuation crosswalked to CCM codes 99490 and 99439, and to G0109 for the group code.</w:t>
      </w:r>
    </w:p>
    <w:p w:rsidR="00000000" w:rsidDel="00000000" w:rsidP="00000000" w:rsidRDefault="00000000" w:rsidRPr="00000000" w14:paraId="000000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CMS solicits comment on the certification standards, the valuation, the conditions of payment, and whether to create HCPCS G-codes for CY 2027.</w:t>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abstractNum w:abstractNumId="2">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abstractNum w:abstractNumId="3">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abstractNum w:abstractNumId="4">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abstractNum w:abstractNumId="5">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abstractNum w:abstractNumId="6">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abstractNum w:abstractNumId="7">
    <w:lvl w:ilvl="0">
      <w:start w:val="1"/>
      <w:numFmt w:val="decimal"/>
      <w:lvlText w:val="%1."/>
      <w:lvlJc w:val="left"/>
      <w:pPr>
        <w:ind w:left="720" w:hanging="480"/>
      </w:pPr>
      <w:rPr/>
    </w:lvl>
    <w:lvl w:ilvl="1">
      <w:start w:val="1"/>
      <w:numFmt w:val="decimal"/>
      <w:lvlText w:val="%2."/>
      <w:lvlJc w:val="left"/>
      <w:pPr>
        <w:ind w:left="1440" w:hanging="480"/>
      </w:pPr>
      <w:rPr/>
    </w:lvl>
    <w:lvl w:ilvl="2">
      <w:start w:val="1"/>
      <w:numFmt w:val="decimal"/>
      <w:lvlText w:val="%3."/>
      <w:lvlJc w:val="left"/>
      <w:pPr>
        <w:ind w:left="2160" w:hanging="480"/>
      </w:pPr>
      <w:rPr/>
    </w:lvl>
    <w:lvl w:ilvl="3">
      <w:start w:val="1"/>
      <w:numFmt w:val="decimal"/>
      <w:lvlText w:val="%4."/>
      <w:lvlJc w:val="left"/>
      <w:pPr>
        <w:ind w:left="2880" w:hanging="480"/>
      </w:pPr>
      <w:rPr/>
    </w:lvl>
    <w:lvl w:ilvl="4">
      <w:start w:val="1"/>
      <w:numFmt w:val="decimal"/>
      <w:lvlText w:val="%5."/>
      <w:lvlJc w:val="left"/>
      <w:pPr>
        <w:ind w:left="3600" w:hanging="480"/>
      </w:pPr>
      <w:rPr/>
    </w:lvl>
    <w:lvl w:ilvl="5">
      <w:start w:val="1"/>
      <w:numFmt w:val="decimal"/>
      <w:lvlText w:val="%6."/>
      <w:lvlJc w:val="left"/>
      <w:pPr>
        <w:ind w:left="4320" w:hanging="480"/>
      </w:pPr>
      <w:rPr/>
    </w:lvl>
    <w:lvl w:ilvl="6">
      <w:start w:val="1"/>
      <w:numFmt w:val="decimal"/>
      <w:lvlText w:val="%7."/>
      <w:lvlJc w:val="left"/>
      <w:pPr>
        <w:ind w:left="5040" w:hanging="480"/>
      </w:pPr>
      <w:rPr/>
    </w:lvl>
    <w:lvl w:ilvl="7">
      <w:start w:val="1"/>
      <w:numFmt w:val="decimal"/>
      <w:lvlText w:val="%8."/>
      <w:lvlJc w:val="left"/>
      <w:pPr>
        <w:ind w:left="5760" w:hanging="480"/>
      </w:pPr>
      <w:rPr/>
    </w:lvl>
    <w:lvl w:ilvl="8">
      <w:start w:val="1"/>
      <w:numFmt w:val="decimal"/>
      <w:lvlText w:val="%9."/>
      <w:lvlJc w:val="left"/>
      <w:pPr>
        <w:ind w:left="6480" w:hanging="480"/>
      </w:pPr>
      <w:rPr/>
    </w:lvl>
  </w:abstractNum>
  <w:abstractNum w:abstractNumId="8">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4f81bd"/>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i w:val="1"/>
      <w:iCs w:val="1"/>
      <w:color w:val="4f81bd"/>
      <w:sz w:val="24"/>
      <w:szCs w:val="24"/>
    </w:rPr>
  </w:style>
  <w:style w:type="paragraph" w:styleId="Heading5">
    <w:name w:val="heading 5"/>
    <w:basedOn w:val="Normal"/>
    <w:next w:val="Normal"/>
    <w:pPr>
      <w:keepNext w:val="1"/>
      <w:keepLines w:val="1"/>
      <w:spacing w:after="0" w:before="200" w:lineRule="auto"/>
    </w:pPr>
    <w:rPr>
      <w:rFonts w:ascii="Calibri" w:cs="Calibri" w:eastAsia="Calibri" w:hAnsi="Calibri"/>
      <w:color w:val="4f81bd"/>
      <w:sz w:val="24"/>
      <w:szCs w:val="24"/>
    </w:rPr>
  </w:style>
  <w:style w:type="paragraph" w:styleId="Heading6">
    <w:name w:val="heading 6"/>
    <w:basedOn w:val="Normal"/>
    <w:next w:val="Normal"/>
    <w:pPr>
      <w:keepNext w:val="1"/>
      <w:keepLines w:val="1"/>
      <w:spacing w:after="0" w:before="200" w:lineRule="auto"/>
    </w:pPr>
    <w:rPr>
      <w:rFonts w:ascii="Calibri" w:cs="Calibri" w:eastAsia="Calibri" w:hAnsi="Calibri"/>
      <w:color w:val="4f81bd"/>
      <w:sz w:val="24"/>
      <w:szCs w:val="24"/>
    </w:rPr>
  </w:style>
  <w:style w:type="paragraph" w:styleId="Title">
    <w:name w:val="Title"/>
    <w:basedOn w:val="Normal"/>
    <w:next w:val="Normal"/>
    <w:pPr>
      <w:keepNext w:val="1"/>
      <w:keepLines w:val="1"/>
      <w:spacing w:after="240" w:before="480" w:lineRule="auto"/>
      <w:jc w:val="center"/>
    </w:pPr>
    <w:rPr>
      <w:rFonts w:ascii="Calibri" w:cs="Calibri" w:eastAsia="Calibri" w:hAnsi="Calibri"/>
      <w:b w:val="1"/>
      <w:bCs w:val="1"/>
      <w:color w:val="335b8a"/>
      <w:sz w:val="36"/>
      <w:szCs w:val="36"/>
    </w:rPr>
  </w:style>
  <w:style w:type="paragraph" w:styleId="BodyText">
    <w:name w:val="Body Text"/>
    <w:basedOn w:val="Normal"/>
    <w:link w:val="BodyTextChar"/>
    <w:qFormat w:val="1"/>
    <w:pPr>
      <w:spacing w:after="180" w:before="180"/>
    </w:pPr>
  </w:style>
  <w:style w:type="paragraph" w:styleId="FirstParagraph" w:customStyle="1">
    <w:name w:val="First Paragraph"/>
    <w:basedOn w:val="BodyText"/>
    <w:next w:val="BodyText"/>
    <w:qFormat w:val="1"/>
  </w:style>
  <w:style w:type="paragraph" w:styleId="Compact" w:customStyle="1">
    <w:name w:val="Compact"/>
    <w:basedOn w:val="BodyText"/>
    <w:qFormat w:val="1"/>
    <w:pPr>
      <w:spacing w:after="36" w:before="36"/>
    </w:pPr>
  </w:style>
  <w:style w:type="paragraph" w:styleId="Author" w:customStyle="1">
    <w:name w:val="Author"/>
    <w:next w:val="BodyText"/>
    <w:qFormat w:val="1"/>
    <w:pPr>
      <w:keepNext w:val="1"/>
      <w:keepLines w:val="1"/>
      <w:jc w:val="center"/>
    </w:pPr>
  </w:style>
  <w:style w:type="paragraph" w:styleId="Date">
    <w:name w:val="Date"/>
    <w:next w:val="BodyText"/>
    <w:qFormat w:val="1"/>
    <w:pPr>
      <w:keepNext w:val="1"/>
      <w:keepLines w:val="1"/>
      <w:jc w:val="center"/>
    </w:pPr>
  </w:style>
  <w:style w:type="paragraph" w:styleId="AbstractTitle" w:customStyle="1">
    <w:name w:val="Abstract Title"/>
    <w:basedOn w:val="Normal"/>
    <w:next w:val="Abstract"/>
    <w:qFormat w:val="1"/>
    <w:pPr>
      <w:keepNext w:val="1"/>
      <w:keepLines w:val="1"/>
      <w:spacing w:after="0" w:before="300"/>
      <w:jc w:val="center"/>
    </w:pPr>
    <w:rPr>
      <w:b w:val="1"/>
      <w:color w:val="345a8a"/>
      <w:sz w:val="20"/>
      <w:szCs w:val="20"/>
    </w:rPr>
  </w:style>
  <w:style w:type="paragraph" w:styleId="Abstract" w:customStyle="1">
    <w:name w:val="Abstract"/>
    <w:basedOn w:val="Normal"/>
    <w:next w:val="BodyText"/>
    <w:qFormat w:val="1"/>
    <w:pPr>
      <w:keepNext w:val="1"/>
      <w:keepLines w:val="1"/>
      <w:spacing w:after="300" w:before="100"/>
    </w:pPr>
    <w:rPr>
      <w:sz w:val="20"/>
      <w:szCs w:val="20"/>
    </w:rPr>
  </w:style>
  <w:style w:type="paragraph" w:styleId="Bibliography">
    <w:name w:val="Bibliography"/>
    <w:basedOn w:val="Normal"/>
    <w:next w:val="Bibliography"/>
    <w:qFormat w:val="1"/>
    <w:pPr/>
    <w:rPr/>
  </w:style>
  <w:style w:type="paragraph" w:styleId="Heading7">
    <w:name w:val="Heading 7"/>
    <w:basedOn w:val="Normal"/>
    <w:next w:val="BodyText"/>
    <w:uiPriority w:val="9"/>
    <w:unhideWhenUsed w:val="1"/>
    <w:qFormat w:val="1"/>
    <w:pPr>
      <w:keepNext w:val="1"/>
      <w:keepLines w:val="1"/>
      <w:spacing w:after="0" w:before="200"/>
      <w:outlineLvl w:val="6"/>
    </w:pPr>
    <w:rPr>
      <w:rFonts w:asciiTheme="majorHAnsi" w:cstheme="majorBidi" w:eastAsiaTheme="majorEastAsia" w:hAnsiTheme="majorHAnsi"/>
      <w:color w:val="4f81bd" w:themeColor="accent1"/>
      <w:sz w:val="24"/>
      <w:szCs w:val="24"/>
    </w:rPr>
  </w:style>
  <w:style w:type="paragraph" w:styleId="Heading8">
    <w:name w:val="Heading 8"/>
    <w:basedOn w:val="Normal"/>
    <w:next w:val="BodyText"/>
    <w:uiPriority w:val="9"/>
    <w:unhideWhenUsed w:val="1"/>
    <w:qFormat w:val="1"/>
    <w:pPr>
      <w:keepNext w:val="1"/>
      <w:keepLines w:val="1"/>
      <w:spacing w:after="0" w:before="200"/>
      <w:outlineLvl w:val="7"/>
    </w:pPr>
    <w:rPr>
      <w:rFonts w:asciiTheme="majorHAnsi" w:cstheme="majorBidi" w:eastAsiaTheme="majorEastAsia" w:hAnsiTheme="majorHAnsi"/>
      <w:color w:val="4f81bd" w:themeColor="accent1"/>
      <w:sz w:val="24"/>
      <w:szCs w:val="24"/>
    </w:rPr>
  </w:style>
  <w:style w:type="paragraph" w:styleId="Heading9">
    <w:name w:val="Heading 9"/>
    <w:basedOn w:val="Normal"/>
    <w:next w:val="BodyText"/>
    <w:uiPriority w:val="9"/>
    <w:unhideWhenUsed w:val="1"/>
    <w:qFormat w:val="1"/>
    <w:pPr>
      <w:keepNext w:val="1"/>
      <w:keepLines w:val="1"/>
      <w:spacing w:after="0" w:before="200"/>
      <w:outlineLvl w:val="8"/>
    </w:pPr>
    <w:rPr>
      <w:rFonts w:asciiTheme="majorHAnsi" w:cstheme="majorBidi" w:eastAsiaTheme="majorEastAsia" w:hAnsiTheme="majorHAnsi"/>
      <w:color w:val="4f81bd" w:themeColor="accent1"/>
      <w:sz w:val="24"/>
      <w:szCs w:val="24"/>
    </w:rPr>
  </w:style>
  <w:style w:type="paragraph" w:styleId="BlockText">
    <w:name w:val="Block Text"/>
    <w:basedOn w:val="BodyText"/>
    <w:next w:val="BodyText"/>
    <w:uiPriority w:val="9"/>
    <w:unhideWhenUsed w:val="1"/>
    <w:qFormat w:val="1"/>
    <w:pPr>
      <w:spacing w:after="100" w:before="100"/>
      <w:ind w:left="480" w:right="480" w:firstLine="0"/>
    </w:pPr>
  </w:style>
  <w:style w:type="paragraph" w:styleId="FootnoteText">
    <w:name w:val="Footnote Text"/>
    <w:basedOn w:val="Normal"/>
    <w:next w:val="FootnoteText"/>
    <w:uiPriority w:val="9"/>
    <w:unhideWhenUsed w:val="1"/>
    <w:qFormat w:val="1"/>
  </w:style>
  <w:style w:type="character" w:styleId="DefaultParagraphFont" w:default="1">
    <w:name w:val="Default Paragraph Font"/>
    <w:semiHidden w:val="1"/>
    <w:unhideWhenUsed w:val="1"/>
  </w:style>
  <w:style w:type="table" w:styleId="Table" w:default="1">
    <w:name w:val="Table"/>
    <w:basedOn w:val="TableNormal"/>
    <w:semiHidden w:val="1"/>
    <w:unhideWhenUsed w:val="1"/>
    <w:qFormat w:val="1"/>
    <w:tblPr>
      <w:tblInd w:w="0.0" w:type="dxa"/>
      <w:tblCellMar>
        <w:top w:w="0.0" w:type="dxa"/>
        <w:left w:w="108.0" w:type="dxa"/>
        <w:bottom w:w="0.0" w:type="dxa"/>
        <w:right w:w="108.0" w:type="dxa"/>
      </w:tblCellMar>
    </w:tblPr>
    <w:tblStylePr w:type="firstRow">
      <w:tblPr>
        <w:jc w:val="left"/>
        <w:tblInd w:w="0.0" w:type="dxa"/>
      </w:tblPr>
      <w:trPr>
        <w:jc w:val="left"/>
      </w:trPr>
      <w:tcPr>
        <w:tcBorders>
          <w:bottom w:space="0" w:sz="0" w:val="single"/>
        </w:tcBorders>
        <w:vAlign w:val="bottom"/>
      </w:tcPr>
    </w:tblStylePr>
  </w:style>
  <w:style w:type="paragraph" w:styleId="DefinitionTerm" w:customStyle="1">
    <w:name w:val="Definition Term"/>
    <w:basedOn w:val="Normal"/>
    <w:next w:val="Definition"/>
    <w:pPr>
      <w:keepNext w:val="1"/>
      <w:keepLines w:val="1"/>
      <w:spacing w:after="0"/>
    </w:pPr>
    <w:rPr>
      <w:b w:val="1"/>
    </w:rPr>
  </w:style>
  <w:style w:type="paragraph" w:styleId="Definition" w:customStyle="1">
    <w:name w:val="Definition"/>
    <w:basedOn w:val="Normal"/>
  </w:style>
  <w:style w:type="paragraph" w:styleId="Caption">
    <w:name w:val="Caption"/>
    <w:basedOn w:val="Normal"/>
    <w:link w:val="BodyTextChar"/>
    <w:pPr>
      <w:spacing w:after="120" w:before="0"/>
    </w:pPr>
    <w:rPr>
      <w:i w:val="1"/>
    </w:rPr>
  </w:style>
  <w:style w:type="paragraph" w:styleId="TableCaption" w:customStyle="1">
    <w:name w:val="Table Caption"/>
    <w:basedOn w:val="Caption"/>
    <w:pPr>
      <w:keepNext w:val="1"/>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val="1"/>
    </w:pPr>
  </w:style>
  <w:style w:type="character" w:styleId="BodyTextChar" w:customStyle="1">
    <w:name w:val="Body Text Char"/>
    <w:basedOn w:val="DefaultParagraphFont"/>
    <w:link w:val="BodyText"/>
  </w:style>
  <w:style w:type="character" w:styleId="VerbatimChar" w:customStyle="1">
    <w:name w:val="Verbatim Char"/>
    <w:basedOn w:val="BodyTextChar"/>
    <w:rPr>
      <w:rFonts w:ascii="Consolas" w:hAnsi="Consolas"/>
      <w:sz w:val="22"/>
    </w:rPr>
  </w:style>
  <w:style w:type="character" w:styleId="SectionNumber" w:customStyle="1">
    <w:name w:val="Section Number"/>
    <w:basedOn w:val="BodyTextCha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val="1"/>
    <w:qFormat w:val="1"/>
    <w:pPr>
      <w:spacing w:before="240" w:line="259" w:lineRule="auto"/>
      <w:outlineLvl w:val="9"/>
    </w:pPr>
    <w:rPr>
      <w:rFonts w:asciiTheme="majorHAnsi" w:cstheme="majorBidi" w:eastAsiaTheme="majorEastAsia" w:hAnsiTheme="majorHAnsi"/>
      <w:b w:val="0"/>
      <w:bCs w:val="0"/>
      <w:color w:val="365f91" w:themeColor="accent1" w:themeShade="0000BF"/>
    </w:rPr>
  </w:style>
  <w:style w:type="paragraph" w:styleId="SourceCode" w:customStyle="1">
    <w:name w:val="Source Code"/>
    <w:basedOn w:val="Normal"/>
    <w:link w:val="VerbatimChar"/>
    <w:pPr>
      <w:wordWrap w:val="0"/>
    </w:pPr>
  </w:style>
  <w:style w:type="character" w:styleId="KeywordTok" w:customStyle="1">
    <w:name w:val="KeywordTok"/>
    <w:basedOn w:val="VerbatimChar"/>
    <w:rPr>
      <w:b w:val="1"/>
      <w:color w:val="007020"/>
    </w:rPr>
  </w:style>
  <w:style w:type="character" w:styleId="DataTypeTok" w:customStyle="1">
    <w:name w:val="DataTypeTok"/>
    <w:basedOn w:val="VerbatimChar"/>
    <w:rPr>
      <w:color w:val="902000"/>
    </w:rPr>
  </w:style>
  <w:style w:type="character" w:styleId="DecValTok" w:customStyle="1">
    <w:name w:val="DecValTok"/>
    <w:basedOn w:val="VerbatimChar"/>
    <w:rPr>
      <w:color w:val="40a070"/>
    </w:rPr>
  </w:style>
  <w:style w:type="character" w:styleId="BaseNTok" w:customStyle="1">
    <w:name w:val="BaseNTok"/>
    <w:basedOn w:val="VerbatimChar"/>
    <w:rPr>
      <w:color w:val="40a070"/>
    </w:rPr>
  </w:style>
  <w:style w:type="character" w:styleId="FloatTok" w:customStyle="1">
    <w:name w:val="FloatTok"/>
    <w:basedOn w:val="VerbatimChar"/>
    <w:rPr>
      <w:color w:val="40a070"/>
    </w:rPr>
  </w:style>
  <w:style w:type="character" w:styleId="ConstantTok" w:customStyle="1">
    <w:name w:val="ConstantTok"/>
    <w:basedOn w:val="VerbatimChar"/>
    <w:rPr>
      <w:color w:val="880000"/>
    </w:rPr>
  </w:style>
  <w:style w:type="character" w:styleId="CharTok" w:customStyle="1">
    <w:name w:val="CharTok"/>
    <w:basedOn w:val="VerbatimChar"/>
    <w:rPr>
      <w:color w:val="4070a0"/>
    </w:rPr>
  </w:style>
  <w:style w:type="character" w:styleId="SpecialCharTok" w:customStyle="1">
    <w:name w:val="SpecialCharTok"/>
    <w:basedOn w:val="VerbatimChar"/>
    <w:rPr>
      <w:color w:val="4070a0"/>
    </w:rPr>
  </w:style>
  <w:style w:type="character" w:styleId="StringTok" w:customStyle="1">
    <w:name w:val="StringTok"/>
    <w:basedOn w:val="VerbatimChar"/>
    <w:rPr>
      <w:color w:val="4070a0"/>
    </w:rPr>
  </w:style>
  <w:style w:type="character" w:styleId="VerbatimStringTok" w:customStyle="1">
    <w:name w:val="VerbatimStringTok"/>
    <w:basedOn w:val="VerbatimChar"/>
    <w:rPr>
      <w:color w:val="4070a0"/>
    </w:rPr>
  </w:style>
  <w:style w:type="character" w:styleId="SpecialStringTok" w:customStyle="1">
    <w:name w:val="SpecialStringTok"/>
    <w:basedOn w:val="VerbatimChar"/>
    <w:rPr>
      <w:color w:val="bb6688"/>
    </w:rPr>
  </w:style>
  <w:style w:type="character" w:styleId="ImportTok" w:customStyle="1">
    <w:name w:val="ImportTok"/>
    <w:basedOn w:val="VerbatimChar"/>
    <w:rPr>
      <w:b w:val="1"/>
      <w:color w:val="008000"/>
    </w:rPr>
  </w:style>
  <w:style w:type="character" w:styleId="CommentTok" w:customStyle="1">
    <w:name w:val="CommentTok"/>
    <w:basedOn w:val="VerbatimChar"/>
    <w:rPr>
      <w:i w:val="1"/>
      <w:color w:val="60a0b0"/>
    </w:rPr>
  </w:style>
  <w:style w:type="character" w:styleId="DocumentationTok" w:customStyle="1">
    <w:name w:val="DocumentationTok"/>
    <w:basedOn w:val="VerbatimChar"/>
    <w:rPr>
      <w:i w:val="1"/>
      <w:color w:val="ba2121"/>
    </w:rPr>
  </w:style>
  <w:style w:type="character" w:styleId="AnnotationTok" w:customStyle="1">
    <w:name w:val="AnnotationTok"/>
    <w:basedOn w:val="VerbatimChar"/>
    <w:rPr>
      <w:b w:val="1"/>
      <w:i w:val="1"/>
      <w:color w:val="60a0b0"/>
    </w:rPr>
  </w:style>
  <w:style w:type="character" w:styleId="CommentVarTok" w:customStyle="1">
    <w:name w:val="CommentVarTok"/>
    <w:basedOn w:val="VerbatimChar"/>
    <w:rPr>
      <w:b w:val="1"/>
      <w:i w:val="1"/>
      <w:color w:val="60a0b0"/>
    </w:rPr>
  </w:style>
  <w:style w:type="character" w:styleId="OtherTok" w:customStyle="1">
    <w:name w:val="OtherTok"/>
    <w:basedOn w:val="VerbatimChar"/>
    <w:rPr>
      <w:color w:val="007020"/>
    </w:rPr>
  </w:style>
  <w:style w:type="character" w:styleId="FunctionTok" w:customStyle="1">
    <w:name w:val="FunctionTok"/>
    <w:basedOn w:val="VerbatimChar"/>
    <w:rPr>
      <w:color w:val="06287e"/>
    </w:rPr>
  </w:style>
  <w:style w:type="character" w:styleId="VariableTok" w:customStyle="1">
    <w:name w:val="VariableTok"/>
    <w:basedOn w:val="VerbatimChar"/>
    <w:rPr>
      <w:color w:val="19177c"/>
    </w:rPr>
  </w:style>
  <w:style w:type="character" w:styleId="ControlFlowTok" w:customStyle="1">
    <w:name w:val="ControlFlowTok"/>
    <w:basedOn w:val="VerbatimChar"/>
    <w:rPr>
      <w:b w:val="1"/>
      <w:color w:val="007020"/>
    </w:rPr>
  </w:style>
  <w:style w:type="character" w:styleId="OperatorTok" w:customStyle="1">
    <w:name w:val="OperatorTok"/>
    <w:basedOn w:val="VerbatimChar"/>
    <w:rPr>
      <w:color w:val="666666"/>
    </w:rPr>
  </w:style>
  <w:style w:type="character" w:styleId="BuiltInTok" w:customStyle="1">
    <w:name w:val="BuiltInTok"/>
    <w:basedOn w:val="VerbatimChar"/>
    <w:rPr>
      <w:color w:val="008000"/>
    </w:rPr>
  </w:style>
  <w:style w:type="character" w:styleId="ExtensionTok" w:customStyle="1">
    <w:name w:val="ExtensionTok"/>
    <w:basedOn w:val="VerbatimChar"/>
    <w:rPr/>
  </w:style>
  <w:style w:type="character" w:styleId="PreprocessorTok" w:customStyle="1">
    <w:name w:val="PreprocessorTok"/>
    <w:basedOn w:val="VerbatimChar"/>
    <w:rPr>
      <w:color w:val="bc7a00"/>
    </w:rPr>
  </w:style>
  <w:style w:type="character" w:styleId="AttributeTok" w:customStyle="1">
    <w:name w:val="AttributeTok"/>
    <w:basedOn w:val="VerbatimChar"/>
    <w:rPr>
      <w:color w:val="7d9029"/>
    </w:rPr>
  </w:style>
  <w:style w:type="character" w:styleId="RegionMarkerTok" w:customStyle="1">
    <w:name w:val="RegionMarkerTok"/>
    <w:basedOn w:val="VerbatimChar"/>
    <w:rPr/>
  </w:style>
  <w:style w:type="character" w:styleId="InformationTok" w:customStyle="1">
    <w:name w:val="InformationTok"/>
    <w:basedOn w:val="VerbatimChar"/>
    <w:rPr>
      <w:b w:val="1"/>
      <w:i w:val="1"/>
      <w:color w:val="60a0b0"/>
    </w:rPr>
  </w:style>
  <w:style w:type="character" w:styleId="WarningTok" w:customStyle="1">
    <w:name w:val="WarningTok"/>
    <w:basedOn w:val="VerbatimChar"/>
    <w:rPr>
      <w:b w:val="1"/>
      <w:i w:val="1"/>
      <w:color w:val="60a0b0"/>
    </w:rPr>
  </w:style>
  <w:style w:type="character" w:styleId="AlertTok" w:customStyle="1">
    <w:name w:val="AlertTok"/>
    <w:basedOn w:val="VerbatimChar"/>
    <w:rPr>
      <w:b w:val="1"/>
      <w:color w:val="ff0000"/>
    </w:rPr>
  </w:style>
  <w:style w:type="character" w:styleId="ErrorTok" w:customStyle="1">
    <w:name w:val="ErrorTok"/>
    <w:basedOn w:val="VerbatimChar"/>
    <w:rPr>
      <w:b w:val="1"/>
      <w:color w:val="ff0000"/>
    </w:rPr>
  </w:style>
  <w:style w:type="character" w:styleId="NormalTok" w:customStyle="1">
    <w:name w:val="NormalTok"/>
    <w:basedOn w:val="VerbatimChar"/>
    <w:rPr/>
  </w:style>
  <w:style w:type="paragraph" w:styleId="Subtitle">
    <w:name w:val="Subtitle"/>
    <w:basedOn w:val="Normal"/>
    <w:next w:val="Normal"/>
    <w:pPr>
      <w:keepNext w:val="1"/>
      <w:keepLines w:val="1"/>
      <w:spacing w:after="240" w:before="240" w:lineRule="auto"/>
      <w:jc w:val="center"/>
    </w:pPr>
    <w:rPr>
      <w:rFonts w:ascii="Calibri" w:cs="Calibri" w:eastAsia="Calibri" w:hAnsi="Calibri"/>
      <w:b w:val="1"/>
      <w:bCs w:val="1"/>
      <w:color w:val="335b8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regulations.gov/docket/CMS-2026-23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EOXJRvCvgzxMO1qjHAGR8rptpA==">CgMxLjAyD2lkLm92bG10Yzl2M3ZwMzIPaWQuZ2JtbDdocGp5NjhqMg9pZC44YWt1dXphNnF6eW4yD2lkLnBycXowZHYzZDFyZzIOaWQuNmhhZjVtbnJ1ZWwyD2lkLmJtb21kMzZsNnVwZjIPaWQubXkxb29xNnRkdjk5Mg9pZC4ydjhxZDN4MzFldzEyD2lkLmp3NjUzenRxMzljczIPaWQuZG94NTV5bXZzMTQ2OAByITE2ZzZpZjZROFFlT2tQcGhFb2Y2ZDV4ZmpUZ2tEbURL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2026-08-11T18:00:52Z</dcterms:created>
</cp:coreProperties>
</file>

<file path=docProps/custom.xml><?xml version="1.0" encoding="utf-8"?>
<Properties xmlns="http://schemas.openxmlformats.org/officeDocument/2006/custom-properties" xmlns:vt="http://schemas.openxmlformats.org/officeDocument/2006/docPropsVTypes"/>
</file>