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PEMETAAN CAPAIAN PEMBELAJARAN (CP), TUJUAN PEMBELAJARAN (TP)</w:t>
      </w:r>
    </w:p>
    <w:p>
      <w:pPr>
        <w:jc w:val="center"/>
      </w:pPr>
      <w:r>
        <w:rPr>
          <w:b/>
          <w:bCs/>
          <w:sz w:val="28"/>
          <w:szCs w:val="28"/>
        </w:rPr>
        <w:t xml:space="preserve">DAN ALUR TUJUAN PEMBELAJARAN (ATP)</w:t>
      </w:r>
    </w:p>
    <w:p/>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3500"/>
        <w:gridCol w:w="500"/>
        <w:gridCol w:w="8000"/>
      </w:tblGrid>
      <w:tr>
        <w:tc>
          <w:tcPr>
            <w:tcW w:type="dxa" w:w="3500"/>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2"/>
                <w:szCs w:val="22"/>
              </w:rPr>
              <w:t xml:space="preserve">Nama Sekolah</w:t>
            </w:r>
          </w:p>
        </w:tc>
        <w:tc>
          <w:tcPr>
            <w:tcW w:type="dxa" w:w="5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w:t>
            </w:r>
          </w:p>
        </w:tc>
        <w:tc>
          <w:tcPr>
            <w:tcW w:type="dxa" w:w="80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SDN 41 Pontianak Utara</w:t>
            </w:r>
          </w:p>
        </w:tc>
      </w:tr>
      <w:tr>
        <w:tc>
          <w:tcPr>
            <w:tcW w:type="dxa" w:w="3500"/>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2"/>
                <w:szCs w:val="22"/>
              </w:rPr>
              <w:t xml:space="preserve">Mata Pelajaran</w:t>
            </w:r>
          </w:p>
        </w:tc>
        <w:tc>
          <w:tcPr>
            <w:tcW w:type="dxa" w:w="5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w:t>
            </w:r>
          </w:p>
        </w:tc>
        <w:tc>
          <w:tcPr>
            <w:tcW w:type="dxa" w:w="80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Matematika</w:t>
            </w:r>
          </w:p>
        </w:tc>
      </w:tr>
      <w:tr>
        <w:tc>
          <w:tcPr>
            <w:tcW w:type="dxa" w:w="3500"/>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2"/>
                <w:szCs w:val="22"/>
              </w:rPr>
              <w:t xml:space="preserve">Kelas/Fase</w:t>
            </w:r>
          </w:p>
        </w:tc>
        <w:tc>
          <w:tcPr>
            <w:tcW w:type="dxa" w:w="5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w:t>
            </w:r>
          </w:p>
        </w:tc>
        <w:tc>
          <w:tcPr>
            <w:tcW w:type="dxa" w:w="80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V (Lima) / Fase C</w:t>
            </w:r>
          </w:p>
        </w:tc>
      </w:tr>
      <w:tr>
        <w:tc>
          <w:tcPr>
            <w:tcW w:type="dxa" w:w="3500"/>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2"/>
                <w:szCs w:val="22"/>
              </w:rPr>
              <w:t xml:space="preserve">Semester</w:t>
            </w:r>
          </w:p>
        </w:tc>
        <w:tc>
          <w:tcPr>
            <w:tcW w:type="dxa" w:w="5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w:t>
            </w:r>
          </w:p>
        </w:tc>
        <w:tc>
          <w:tcPr>
            <w:tcW w:type="dxa" w:w="80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1 dan 2</w:t>
            </w:r>
          </w:p>
        </w:tc>
      </w:tr>
      <w:tr>
        <w:tc>
          <w:tcPr>
            <w:tcW w:type="dxa" w:w="3500"/>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2"/>
                <w:szCs w:val="22"/>
              </w:rPr>
              <w:t xml:space="preserve">Tahun Pelajaran</w:t>
            </w:r>
          </w:p>
        </w:tc>
        <w:tc>
          <w:tcPr>
            <w:tcW w:type="dxa" w:w="5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w:t>
            </w:r>
          </w:p>
        </w:tc>
        <w:tc>
          <w:tcPr>
            <w:tcW w:type="dxa" w:w="8000"/>
            <w:tcBorders>
              <w:top w:val="none" w:color="FFFFFF" w:sz="0"/>
              <w:left w:val="none" w:color="FFFFFF" w:sz="0"/>
              <w:bottom w:val="none" w:color="FFFFFF" w:sz="0"/>
              <w:right w:val="none" w:color="FFFFFF" w:sz="0"/>
            </w:tcBorders>
            <w:tcMar>
              <w:top w:type="dxa" w:w="40"/>
              <w:left w:type="dxa" w:w="0"/>
              <w:bottom w:type="dxa" w:w="40"/>
              <w:right w:type="dxa" w:w="0"/>
            </w:tcMar>
          </w:tcPr>
          <w:p>
            <w:r>
              <w:rPr>
                <w:sz w:val="22"/>
                <w:szCs w:val="22"/>
              </w:rPr>
              <w:t xml:space="preserve">2026/2027</w:t>
            </w:r>
          </w:p>
        </w:tc>
      </w:tr>
    </w:tbl>
    <w:p/>
    <w:p>
      <w:pPr>
        <w:pStyle w:val="Heading2"/>
      </w:pPr>
      <w:r>
        <w:rPr>
          <w:b/>
          <w:bCs/>
          <w:sz w:val="24"/>
          <w:szCs w:val="24"/>
        </w:rPr>
        <w:t xml:space="preserve">A. Capaian Pembelajaran (CP) Mata Pelajaran Matematika Fase C</w:t>
      </w:r>
    </w:p>
    <w:p/>
    <w:tbl>
      <w:tblPr>
        <w:tblW w:type="dxa" w:w="15000"/>
        <w:tblBorders>
          <w:top w:val="single" w:color="auto" w:sz="4"/>
          <w:left w:val="single" w:color="auto" w:sz="4"/>
          <w:bottom w:val="single" w:color="auto" w:sz="4"/>
          <w:right w:val="single" w:color="auto" w:sz="4"/>
          <w:insideH w:val="single" w:color="auto" w:sz="4"/>
          <w:insideV w:val="single" w:color="auto" w:sz="4"/>
        </w:tblBorders>
      </w:tblPr>
      <w:tblGrid>
        <w:gridCol w:w="3500"/>
        <w:gridCol w:w="11500"/>
      </w:tblGrid>
      <w:tr>
        <w:trPr>
          <w:tblHeader/>
        </w:trPr>
        <w:tc>
          <w:tcPr>
            <w:tcW w:type="dxa" w:w="3500"/>
            <w:shd w:fill="D9E2F3" w:val="clear"/>
            <w:tcMar>
              <w:top w:type="dxa" w:w="80"/>
              <w:left w:type="dxa" w:w="100"/>
              <w:bottom w:type="dxa" w:w="80"/>
              <w:right w:type="dxa" w:w="100"/>
            </w:tcMar>
            <w:vAlign w:val="center"/>
          </w:tcPr>
          <w:p>
            <w:pPr>
              <w:jc w:val="center"/>
            </w:pPr>
            <w:r>
              <w:rPr>
                <w:b/>
                <w:bCs/>
                <w:sz w:val="20"/>
                <w:szCs w:val="20"/>
              </w:rPr>
              <w:t xml:space="preserve">Elemen</w:t>
            </w:r>
          </w:p>
        </w:tc>
        <w:tc>
          <w:tcPr>
            <w:tcW w:type="dxa" w:w="11500"/>
            <w:shd w:fill="D9E2F3" w:val="clear"/>
            <w:tcMar>
              <w:top w:type="dxa" w:w="80"/>
              <w:left w:type="dxa" w:w="100"/>
              <w:bottom w:type="dxa" w:w="80"/>
              <w:right w:type="dxa" w:w="100"/>
            </w:tcMar>
            <w:vAlign w:val="center"/>
          </w:tcPr>
          <w:p>
            <w:pPr>
              <w:jc w:val="center"/>
            </w:pPr>
            <w:r>
              <w:rPr>
                <w:b/>
                <w:bCs/>
                <w:sz w:val="20"/>
                <w:szCs w:val="20"/>
              </w:rPr>
              <w:t xml:space="preserve">Capaian Pembelajaran (Fase C)</w:t>
            </w:r>
          </w:p>
        </w:tc>
      </w:tr>
      <w:tr>
        <w:tc>
          <w:tcPr>
            <w:tcW w:type="dxa" w:w="3500"/>
            <w:tcMar>
              <w:top w:type="dxa" w:w="80"/>
              <w:left w:type="dxa" w:w="100"/>
              <w:bottom w:type="dxa" w:w="80"/>
              <w:right w:type="dxa" w:w="100"/>
            </w:tcMar>
            <w:vAlign w:val="center"/>
          </w:tcPr>
          <w:p>
            <w:pPr>
              <w:jc w:val="left"/>
            </w:pPr>
            <w:r>
              <w:rPr>
                <w:b/>
                <w:bCs/>
                <w:sz w:val="20"/>
                <w:szCs w:val="20"/>
              </w:rPr>
              <w:t xml:space="preserve">Bilangan</w:t>
            </w:r>
          </w:p>
        </w:tc>
        <w:tc>
          <w:tcPr>
            <w:tcW w:type="dxa" w:w="11500"/>
            <w:tcMar>
              <w:top w:type="dxa" w:w="80"/>
              <w:left w:type="dxa" w:w="100"/>
              <w:bottom w:type="dxa" w:w="80"/>
              <w:right w:type="dxa" w:w="100"/>
            </w:tcMar>
            <w:vAlign w:val="center"/>
          </w:tcPr>
          <w:p>
            <w:pPr>
              <w:jc w:val="left"/>
            </w:pPr>
            <w:r>
              <w:rPr>
                <w:b w:val="false"/>
                <w:bCs w:val="false"/>
                <w:sz w:val="20"/>
                <w:szCs w:val="20"/>
              </w:rPr>
              <w:t xml:space="preserve">Peserta didik dapat menunjukkan pemahaman dan intuisi bilangan (number sense) pada bilangan cacah sampai 1.000.000. Mereka dapat membaca, menulis, menentukan nilai tempat, membandingkan, mengurutkan, melakukan komposisi dan dekomposisi bilangan tersebut, serta menyelesaikan masalah yang berkaitan dengan uang. Mereka dapat melakukan operasi penjumlahan, pengurangan, perkalian, dan pembagian bilangan cacah sampai 100.000, serta menyelesaikan masalah yang berkaitan dengan KPK dan FPB. Peserta didik dapat membandingkan dan mengurutkan berbagai pecahan termasuk pecahan campuran, melakukan operasi penjumlahan dan pengurangan pecahan, serta operasi perkalian dan pembagian pecahan dengan bilangan asli.</w:t>
            </w:r>
          </w:p>
        </w:tc>
      </w:tr>
      <w:tr>
        <w:tc>
          <w:tcPr>
            <w:tcW w:type="dxa" w:w="3500"/>
            <w:tcMar>
              <w:top w:type="dxa" w:w="80"/>
              <w:left w:type="dxa" w:w="100"/>
              <w:bottom w:type="dxa" w:w="80"/>
              <w:right w:type="dxa" w:w="100"/>
            </w:tcMar>
            <w:vAlign w:val="center"/>
          </w:tcPr>
          <w:p>
            <w:pPr>
              <w:jc w:val="left"/>
            </w:pPr>
            <w:r>
              <w:rPr>
                <w:b/>
                <w:bCs/>
                <w:sz w:val="20"/>
                <w:szCs w:val="20"/>
              </w:rPr>
              <w:t xml:space="preserve">Aljabar</w:t>
            </w:r>
          </w:p>
        </w:tc>
        <w:tc>
          <w:tcPr>
            <w:tcW w:type="dxa" w:w="11500"/>
            <w:tcMar>
              <w:top w:type="dxa" w:w="80"/>
              <w:left w:type="dxa" w:w="100"/>
              <w:bottom w:type="dxa" w:w="80"/>
              <w:right w:type="dxa" w:w="100"/>
            </w:tcMar>
            <w:vAlign w:val="center"/>
          </w:tcPr>
          <w:p>
            <w:pPr>
              <w:jc w:val="left"/>
            </w:pPr>
            <w:r>
              <w:rPr>
                <w:b w:val="false"/>
                <w:bCs w:val="false"/>
                <w:sz w:val="20"/>
                <w:szCs w:val="20"/>
              </w:rPr>
              <w:t xml:space="preserve">Peserta didik dapat mengisi nilai yang belum diketahui dalam sebuah kalimat matematika yang berkaitan dengan penjumlahan, pengurangan, perkalian, dan pembagian pada bilangan cacah sampai 1000. Peserta didik dapat mengidentifikasi, meniru, dan mengembangkan pola bilangan membesar dan mengecil yang melibatkan perkalian dan pembagian, serta bernalar secara proporsional untuk menyelesaikan masalah sehari-hari dengan rasio dan proporsi.</w:t>
            </w:r>
          </w:p>
        </w:tc>
      </w:tr>
      <w:tr>
        <w:tc>
          <w:tcPr>
            <w:tcW w:type="dxa" w:w="3500"/>
            <w:tcMar>
              <w:top w:type="dxa" w:w="80"/>
              <w:left w:type="dxa" w:w="100"/>
              <w:bottom w:type="dxa" w:w="80"/>
              <w:right w:type="dxa" w:w="100"/>
            </w:tcMar>
            <w:vAlign w:val="center"/>
          </w:tcPr>
          <w:p>
            <w:pPr>
              <w:jc w:val="left"/>
            </w:pPr>
            <w:r>
              <w:rPr>
                <w:b/>
                <w:bCs/>
                <w:sz w:val="20"/>
                <w:szCs w:val="20"/>
              </w:rPr>
              <w:t xml:space="preserve">Pengukuran</w:t>
            </w:r>
          </w:p>
        </w:tc>
        <w:tc>
          <w:tcPr>
            <w:tcW w:type="dxa" w:w="11500"/>
            <w:tcMar>
              <w:top w:type="dxa" w:w="80"/>
              <w:left w:type="dxa" w:w="100"/>
              <w:bottom w:type="dxa" w:w="80"/>
              <w:right w:type="dxa" w:w="100"/>
            </w:tcMar>
            <w:vAlign w:val="center"/>
          </w:tcPr>
          <w:p>
            <w:pPr>
              <w:jc w:val="left"/>
            </w:pPr>
            <w:r>
              <w:rPr>
                <w:b w:val="false"/>
                <w:bCs w:val="false"/>
                <w:sz w:val="20"/>
                <w:szCs w:val="20"/>
              </w:rPr>
              <w:t xml:space="preserve">Peserta didik dapat menentukan keliling dan luas berbagai bentuk bangun datar (segitiga, segiempat, dan segi banyak) serta gabungannya. Mereka dapat menghitung durasi waktu dan mengukur besar sudut.</w:t>
            </w:r>
          </w:p>
        </w:tc>
      </w:tr>
      <w:tr>
        <w:tc>
          <w:tcPr>
            <w:tcW w:type="dxa" w:w="3500"/>
            <w:tcMar>
              <w:top w:type="dxa" w:w="80"/>
              <w:left w:type="dxa" w:w="100"/>
              <w:bottom w:type="dxa" w:w="80"/>
              <w:right w:type="dxa" w:w="100"/>
            </w:tcMar>
            <w:vAlign w:val="center"/>
          </w:tcPr>
          <w:p>
            <w:pPr>
              <w:jc w:val="left"/>
            </w:pPr>
            <w:r>
              <w:rPr>
                <w:b/>
                <w:bCs/>
                <w:sz w:val="20"/>
                <w:szCs w:val="20"/>
              </w:rPr>
              <w:t xml:space="preserve">Geometri</w:t>
            </w:r>
          </w:p>
        </w:tc>
        <w:tc>
          <w:tcPr>
            <w:tcW w:type="dxa" w:w="11500"/>
            <w:tcMar>
              <w:top w:type="dxa" w:w="80"/>
              <w:left w:type="dxa" w:w="100"/>
              <w:bottom w:type="dxa" w:w="80"/>
              <w:right w:type="dxa" w:w="100"/>
            </w:tcMar>
            <w:vAlign w:val="center"/>
          </w:tcPr>
          <w:p>
            <w:pPr>
              <w:jc w:val="left"/>
            </w:pPr>
            <w:r>
              <w:rPr>
                <w:b w:val="false"/>
                <w:bCs w:val="false"/>
                <w:sz w:val="20"/>
                <w:szCs w:val="20"/>
              </w:rPr>
              <w:t xml:space="preserve">Peserta didik dapat mengonstruksi dan mengurai bangun ruang (kubus, balok, dan gabungannya) dan mengenali visualisasi spasial (bagian depan, atas, dan samping). Mereka dapat membandingkan karakteristik antarbangun datar dan antarbangun ruang, serta menentukan lokasi pada peta yang menggunakan sistem berpetak.</w:t>
            </w:r>
          </w:p>
        </w:tc>
      </w:tr>
      <w:tr>
        <w:tc>
          <w:tcPr>
            <w:tcW w:type="dxa" w:w="3500"/>
            <w:tcMar>
              <w:top w:type="dxa" w:w="80"/>
              <w:left w:type="dxa" w:w="100"/>
              <w:bottom w:type="dxa" w:w="80"/>
              <w:right w:type="dxa" w:w="100"/>
            </w:tcMar>
            <w:vAlign w:val="center"/>
          </w:tcPr>
          <w:p>
            <w:pPr>
              <w:jc w:val="left"/>
            </w:pPr>
            <w:r>
              <w:rPr>
                <w:b/>
                <w:bCs/>
                <w:sz w:val="20"/>
                <w:szCs w:val="20"/>
              </w:rPr>
              <w:t xml:space="preserve">Analisis Data dan Peluang</w:t>
            </w:r>
          </w:p>
        </w:tc>
        <w:tc>
          <w:tcPr>
            <w:tcW w:type="dxa" w:w="11500"/>
            <w:tcMar>
              <w:top w:type="dxa" w:w="80"/>
              <w:left w:type="dxa" w:w="100"/>
              <w:bottom w:type="dxa" w:w="80"/>
              <w:right w:type="dxa" w:w="100"/>
            </w:tcMar>
            <w:vAlign w:val="center"/>
          </w:tcPr>
          <w:p>
            <w:pPr>
              <w:jc w:val="left"/>
            </w:pPr>
            <w:r>
              <w:rPr>
                <w:b w:val="false"/>
                <w:bCs w:val="false"/>
                <w:sz w:val="20"/>
                <w:szCs w:val="20"/>
              </w:rPr>
              <w:t xml:space="preserve">Peserta didik dapat mengurutkan, membandingkan, menyajikan, dan menganalisis data banyak benda dan data hasil pengukuran dalam bentuk gambar, piktogram, diagram batang, dan tabel frekuensi untuk mendapatkan informasi. Mereka dapat menentukan kejadian dengan kemungkinan yang lebih besar dalam suatu percobaan acak.</w:t>
            </w:r>
          </w:p>
        </w:tc>
      </w:tr>
    </w:tbl>
    <w:p/>
    <w:p>
      <w:pPr>
        <w:pStyle w:val="Heading2"/>
      </w:pPr>
      <w:r>
        <w:rPr>
          <w:b/>
          <w:bCs/>
          <w:sz w:val="24"/>
          <w:szCs w:val="24"/>
        </w:rPr>
        <w:t xml:space="preserve">B. Tujuan Pembelajaran (TP) dan Alur Tujuan Pembelajaran (ATP) — Semester 1</w:t>
      </w:r>
    </w:p>
    <w:p/>
    <w:tbl>
      <w:tblPr>
        <w:tblW w:type="dxa" w:w="15000"/>
        <w:tblBorders>
          <w:top w:val="single" w:color="auto" w:sz="4"/>
          <w:left w:val="single" w:color="auto" w:sz="4"/>
          <w:bottom w:val="single" w:color="auto" w:sz="4"/>
          <w:right w:val="single" w:color="auto" w:sz="4"/>
          <w:insideH w:val="single" w:color="auto" w:sz="4"/>
          <w:insideV w:val="single" w:color="auto" w:sz="4"/>
        </w:tblBorders>
      </w:tblPr>
      <w:tblGrid>
        <w:gridCol w:w="500"/>
        <w:gridCol w:w="1900"/>
        <w:gridCol w:w="2900"/>
        <w:gridCol w:w="4200"/>
        <w:gridCol w:w="4200"/>
        <w:gridCol w:w="1900"/>
      </w:tblGrid>
      <w:tr>
        <w:trPr>
          <w:tblHeader/>
        </w:trPr>
        <w:tc>
          <w:tcPr>
            <w:tcW w:type="dxa" w:w="500"/>
            <w:shd w:fill="D9E2F3" w:val="clear"/>
            <w:tcMar>
              <w:top w:type="dxa" w:w="80"/>
              <w:left w:type="dxa" w:w="100"/>
              <w:bottom w:type="dxa" w:w="80"/>
              <w:right w:type="dxa" w:w="100"/>
            </w:tcMar>
            <w:vAlign w:val="center"/>
          </w:tcPr>
          <w:p>
            <w:pPr>
              <w:jc w:val="center"/>
            </w:pPr>
            <w:r>
              <w:rPr>
                <w:b/>
                <w:bCs/>
                <w:sz w:val="20"/>
                <w:szCs w:val="20"/>
              </w:rPr>
              <w:t xml:space="preserve">No</w:t>
            </w:r>
          </w:p>
        </w:tc>
        <w:tc>
          <w:tcPr>
            <w:tcW w:type="dxa" w:w="1900"/>
            <w:shd w:fill="D9E2F3" w:val="clear"/>
            <w:tcMar>
              <w:top w:type="dxa" w:w="80"/>
              <w:left w:type="dxa" w:w="100"/>
              <w:bottom w:type="dxa" w:w="80"/>
              <w:right w:type="dxa" w:w="100"/>
            </w:tcMar>
            <w:vAlign w:val="center"/>
          </w:tcPr>
          <w:p>
            <w:pPr>
              <w:jc w:val="center"/>
            </w:pPr>
            <w:r>
              <w:rPr>
                <w:b/>
                <w:bCs/>
                <w:sz w:val="20"/>
                <w:szCs w:val="20"/>
              </w:rPr>
              <w:t xml:space="preserve">Elemen</w:t>
            </w:r>
          </w:p>
        </w:tc>
        <w:tc>
          <w:tcPr>
            <w:tcW w:type="dxa" w:w="2900"/>
            <w:shd w:fill="D9E2F3" w:val="clear"/>
            <w:tcMar>
              <w:top w:type="dxa" w:w="80"/>
              <w:left w:type="dxa" w:w="100"/>
              <w:bottom w:type="dxa" w:w="80"/>
              <w:right w:type="dxa" w:w="100"/>
            </w:tcMar>
            <w:vAlign w:val="center"/>
          </w:tcPr>
          <w:p>
            <w:pPr>
              <w:jc w:val="center"/>
            </w:pPr>
            <w:r>
              <w:rPr>
                <w:b/>
                <w:bCs/>
                <w:sz w:val="20"/>
                <w:szCs w:val="20"/>
              </w:rPr>
              <w:t xml:space="preserve">Materi/Bab</w:t>
            </w:r>
          </w:p>
        </w:tc>
        <w:tc>
          <w:tcPr>
            <w:tcW w:type="dxa" w:w="4200"/>
            <w:shd w:fill="D9E2F3" w:val="clear"/>
            <w:tcMar>
              <w:top w:type="dxa" w:w="80"/>
              <w:left w:type="dxa" w:w="100"/>
              <w:bottom w:type="dxa" w:w="80"/>
              <w:right w:type="dxa" w:w="100"/>
            </w:tcMar>
            <w:vAlign w:val="center"/>
          </w:tcPr>
          <w:p>
            <w:pPr>
              <w:jc w:val="center"/>
            </w:pPr>
            <w:r>
              <w:rPr>
                <w:b/>
                <w:bCs/>
                <w:sz w:val="20"/>
                <w:szCs w:val="20"/>
              </w:rPr>
              <w:t xml:space="preserve">TP
(Tujuan Pembelajaran)</w:t>
            </w:r>
          </w:p>
        </w:tc>
        <w:tc>
          <w:tcPr>
            <w:tcW w:type="dxa" w:w="4200"/>
            <w:shd w:fill="D9E2F3" w:val="clear"/>
            <w:tcMar>
              <w:top w:type="dxa" w:w="80"/>
              <w:left w:type="dxa" w:w="100"/>
              <w:bottom w:type="dxa" w:w="80"/>
              <w:right w:type="dxa" w:w="100"/>
            </w:tcMar>
            <w:vAlign w:val="center"/>
          </w:tcPr>
          <w:p>
            <w:pPr>
              <w:jc w:val="center"/>
            </w:pPr>
            <w:r>
              <w:rPr>
                <w:b/>
                <w:bCs/>
                <w:sz w:val="20"/>
                <w:szCs w:val="20"/>
              </w:rPr>
              <w:t xml:space="preserve">ATP
(Alur Tujuan Pembelajaran)</w:t>
            </w:r>
          </w:p>
        </w:tc>
        <w:tc>
          <w:tcPr>
            <w:tcW w:type="dxa" w:w="1900"/>
            <w:shd w:fill="D9E2F3" w:val="clear"/>
            <w:tcMar>
              <w:top w:type="dxa" w:w="80"/>
              <w:left w:type="dxa" w:w="100"/>
              <w:bottom w:type="dxa" w:w="80"/>
              <w:right w:type="dxa" w:w="100"/>
            </w:tcMar>
            <w:vAlign w:val="center"/>
          </w:tcPr>
          <w:p>
            <w:pPr>
              <w:jc w:val="center"/>
            </w:pPr>
            <w:r>
              <w:rPr>
                <w:b/>
                <w:bCs/>
                <w:sz w:val="20"/>
                <w:szCs w:val="20"/>
              </w:rPr>
              <w:t xml:space="preserve">Justifikasi Pengurutan</w:t>
            </w: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1</w:t>
            </w:r>
          </w:p>
        </w:tc>
        <w:tc>
          <w:tcPr>
            <w:tcW w:type="dxa" w:w="1900"/>
            <w:vMerge w:val="restart"/>
            <w:tcMar>
              <w:top w:type="dxa" w:w="80"/>
              <w:left w:type="dxa" w:w="100"/>
              <w:bottom w:type="dxa" w:w="80"/>
              <w:right w:type="dxa" w:w="100"/>
            </w:tcMar>
            <w:vAlign w:val="center"/>
          </w:tcPr>
          <w:p>
            <w:r>
              <w:rPr>
                <w:b/>
                <w:bCs/>
                <w:sz w:val="20"/>
                <w:szCs w:val="20"/>
              </w:rPr>
              <w:t xml:space="preserve">Bilangan</w:t>
            </w:r>
          </w:p>
        </w:tc>
        <w:tc>
          <w:tcPr>
            <w:tcW w:type="dxa" w:w="2900"/>
            <w:vMerge w:val="restart"/>
            <w:tcMar>
              <w:top w:type="dxa" w:w="80"/>
              <w:left w:type="dxa" w:w="100"/>
              <w:bottom w:type="dxa" w:w="80"/>
              <w:right w:type="dxa" w:w="100"/>
            </w:tcMar>
            <w:vAlign w:val="center"/>
          </w:tcPr>
          <w:p>
            <w:r>
              <w:rPr>
                <w:b/>
                <w:bCs/>
                <w:sz w:val="20"/>
                <w:szCs w:val="20"/>
              </w:rPr>
              <w:t xml:space="preserve">Bab 1: Bilangan Cacah Sampai 100.000</w:t>
            </w:r>
          </w:p>
        </w:tc>
        <w:tc>
          <w:tcPr>
            <w:tcW w:type="dxa" w:w="4200"/>
            <w:tcMar>
              <w:top w:type="dxa" w:w="80"/>
              <w:left w:type="dxa" w:w="100"/>
              <w:bottom w:type="dxa" w:w="80"/>
              <w:right w:type="dxa" w:w="100"/>
            </w:tcMar>
            <w:vAlign w:val="center"/>
          </w:tcPr>
          <w:p>
            <w:pPr>
              <w:jc w:val="left"/>
            </w:pPr>
            <w:r>
              <w:rPr>
                <w:b w:val="false"/>
                <w:bCs w:val="false"/>
                <w:sz w:val="20"/>
                <w:szCs w:val="20"/>
              </w:rPr>
              <w:t xml:space="preserve">5.1.1 Peserta didik dapat membaca, menulis, dan menentukan nilai tempat bilangan cacah sampai 100.000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5.1.1 Membaca, menulis, dan menentukan nilai tempat bilangan cacah sampai 100.000.</w:t>
            </w:r>
          </w:p>
        </w:tc>
        <w:tc>
          <w:tcPr>
            <w:tcW w:type="dxa" w:w="1900"/>
            <w:vMerge w:val="restart"/>
            <w:tcMar>
              <w:top w:type="dxa" w:w="80"/>
              <w:left w:type="dxa" w:w="100"/>
              <w:bottom w:type="dxa" w:w="80"/>
              <w:right w:type="dxa" w:w="100"/>
            </w:tcMar>
            <w:vAlign w:val="center"/>
          </w:tcPr>
          <w:p>
            <w:r>
              <w:rPr>
                <w:sz w:val="20"/>
                <w:szCs w:val="20"/>
              </w:rPr>
              <w:t xml:space="preserve">Hierarki: mengawali tahun ajaran dengan penguatan pemahaman bilangan cacah sampai 100.000 sebagai dasar sebelum mempelajari konsep KPK, FPB, dan pecahan yang menggunakan operasi bilangan cacah.</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5.1.2 Peserta didik dapat membandingkan, mengurutkan, serta melakukan komposisi dan dekomposisi bilangan cacah sampai 100.000 dengan benar.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5.1.2 Membandingkan, mengurutkan, serta menyusun/mengurai bilangan cacah sampai 100.000.</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5.1.3 Peserta didik dapat menyelesaikan masalah sehari-hari (termasuk yang berkaitan dengan uang) menggunakan operasi hitung bilangan cacah sampai 100.000.</w:t>
            </w:r>
          </w:p>
        </w:tc>
        <w:tc>
          <w:tcPr>
            <w:tcW w:type="dxa" w:w="4200"/>
            <w:tcMar>
              <w:top w:type="dxa" w:w="80"/>
              <w:left w:type="dxa" w:w="100"/>
              <w:bottom w:type="dxa" w:w="80"/>
              <w:right w:type="dxa" w:w="100"/>
            </w:tcMar>
            <w:vAlign w:val="center"/>
          </w:tcPr>
          <w:p>
            <w:pPr>
              <w:jc w:val="left"/>
            </w:pPr>
            <w:r>
              <w:rPr>
                <w:b w:val="false"/>
                <w:bCs w:val="false"/>
                <w:sz w:val="20"/>
                <w:szCs w:val="20"/>
              </w:rPr>
              <w:t xml:space="preserve">5.1.3 Menyelesaikan masalah sehari-hari menggunakan operasi hitung bilangan cacah.</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2</w:t>
            </w:r>
          </w:p>
        </w:tc>
        <w:tc>
          <w:tcPr>
            <w:tcW w:type="dxa" w:w="1900"/>
            <w:vMerge w:val="restart"/>
            <w:tcMar>
              <w:top w:type="dxa" w:w="80"/>
              <w:left w:type="dxa" w:w="100"/>
              <w:bottom w:type="dxa" w:w="80"/>
              <w:right w:type="dxa" w:w="100"/>
            </w:tcMar>
            <w:vAlign w:val="center"/>
          </w:tcPr>
          <w:p>
            <w:r>
              <w:rPr>
                <w:b/>
                <w:bCs/>
                <w:sz w:val="20"/>
                <w:szCs w:val="20"/>
              </w:rPr>
              <w:t xml:space="preserve">Bilangan</w:t>
            </w:r>
          </w:p>
        </w:tc>
        <w:tc>
          <w:tcPr>
            <w:tcW w:type="dxa" w:w="2900"/>
            <w:vMerge w:val="restart"/>
            <w:tcMar>
              <w:top w:type="dxa" w:w="80"/>
              <w:left w:type="dxa" w:w="100"/>
              <w:bottom w:type="dxa" w:w="80"/>
              <w:right w:type="dxa" w:w="100"/>
            </w:tcMar>
            <w:vAlign w:val="center"/>
          </w:tcPr>
          <w:p>
            <w:r>
              <w:rPr>
                <w:b/>
                <w:bCs/>
                <w:sz w:val="20"/>
                <w:szCs w:val="20"/>
              </w:rPr>
              <w:t xml:space="preserve">Bab 2: KPK dan FPB</w:t>
            </w:r>
          </w:p>
        </w:tc>
        <w:tc>
          <w:tcPr>
            <w:tcW w:type="dxa" w:w="4200"/>
            <w:tcMar>
              <w:top w:type="dxa" w:w="80"/>
              <w:left w:type="dxa" w:w="100"/>
              <w:bottom w:type="dxa" w:w="80"/>
              <w:right w:type="dxa" w:w="100"/>
            </w:tcMar>
            <w:vAlign w:val="center"/>
          </w:tcPr>
          <w:p>
            <w:pPr>
              <w:jc w:val="left"/>
            </w:pPr>
            <w:r>
              <w:rPr>
                <w:b w:val="false"/>
                <w:bCs w:val="false"/>
                <w:sz w:val="20"/>
                <w:szCs w:val="20"/>
              </w:rPr>
              <w:t xml:space="preserve">5.2.1 Peserta didik dapat menentukan kelipatan, kelipatan persekutuan, dan Kelipatan Persekutuan Terkecil (KPK) dari dua bilangan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5.2.1 Menentukan kelipatan, kelipatan persekutuan, dan KPK dari dua bilangan.</w:t>
            </w:r>
          </w:p>
        </w:tc>
        <w:tc>
          <w:tcPr>
            <w:tcW w:type="dxa" w:w="1900"/>
            <w:vMerge w:val="restart"/>
            <w:tcMar>
              <w:top w:type="dxa" w:w="80"/>
              <w:left w:type="dxa" w:w="100"/>
              <w:bottom w:type="dxa" w:w="80"/>
              <w:right w:type="dxa" w:w="100"/>
            </w:tcMar>
            <w:vAlign w:val="center"/>
          </w:tcPr>
          <w:p>
            <w:r>
              <w:rPr>
                <w:sz w:val="20"/>
                <w:szCs w:val="20"/>
              </w:rPr>
              <w:t xml:space="preserve">Hierarki: pemahaman operasi bilangan cacah pada Bab 1 menjadi dasar untuk mempelajari konsep kelipatan dan faktor (KPK dan FPB) pada bab ini.</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5.2.2 Peserta didik dapat menentukan faktor, faktor persekutuan, Faktor Persekutuan Terbesar (FPB), dan bilangan prima dengan benar.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5.2.2 Menentukan faktor, faktor persekutuan, FPB, dan bilangan prima.</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5.2.3 Peserta didik dapat menyelesaikan masalah sehari-hari yang berkaitan dengan KPK dan FPB.</w:t>
            </w:r>
          </w:p>
        </w:tc>
        <w:tc>
          <w:tcPr>
            <w:tcW w:type="dxa" w:w="4200"/>
            <w:tcMar>
              <w:top w:type="dxa" w:w="80"/>
              <w:left w:type="dxa" w:w="100"/>
              <w:bottom w:type="dxa" w:w="80"/>
              <w:right w:type="dxa" w:w="100"/>
            </w:tcMar>
            <w:vAlign w:val="center"/>
          </w:tcPr>
          <w:p>
            <w:pPr>
              <w:jc w:val="left"/>
            </w:pPr>
            <w:r>
              <w:rPr>
                <w:b w:val="false"/>
                <w:bCs w:val="false"/>
                <w:sz w:val="20"/>
                <w:szCs w:val="20"/>
              </w:rPr>
              <w:t xml:space="preserve">5.2.3 Menyelesaikan masalah sehari-hari yang berkaitan dengan KPK dan FPB.</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3</w:t>
            </w:r>
          </w:p>
        </w:tc>
        <w:tc>
          <w:tcPr>
            <w:tcW w:type="dxa" w:w="1900"/>
            <w:vMerge w:val="restart"/>
            <w:tcMar>
              <w:top w:type="dxa" w:w="80"/>
              <w:left w:type="dxa" w:w="100"/>
              <w:bottom w:type="dxa" w:w="80"/>
              <w:right w:type="dxa" w:w="100"/>
            </w:tcMar>
            <w:vAlign w:val="center"/>
          </w:tcPr>
          <w:p>
            <w:r>
              <w:rPr>
                <w:b/>
                <w:bCs/>
                <w:sz w:val="20"/>
                <w:szCs w:val="20"/>
              </w:rPr>
              <w:t xml:space="preserve">Bilangan</w:t>
            </w:r>
          </w:p>
        </w:tc>
        <w:tc>
          <w:tcPr>
            <w:tcW w:type="dxa" w:w="2900"/>
            <w:vMerge w:val="restart"/>
            <w:tcMar>
              <w:top w:type="dxa" w:w="80"/>
              <w:left w:type="dxa" w:w="100"/>
              <w:bottom w:type="dxa" w:w="80"/>
              <w:right w:type="dxa" w:w="100"/>
            </w:tcMar>
            <w:vAlign w:val="center"/>
          </w:tcPr>
          <w:p>
            <w:r>
              <w:rPr>
                <w:b/>
                <w:bCs/>
                <w:sz w:val="20"/>
                <w:szCs w:val="20"/>
              </w:rPr>
              <w:t xml:space="preserve">Bab 3: Bilangan Pecahan</w:t>
            </w:r>
          </w:p>
        </w:tc>
        <w:tc>
          <w:tcPr>
            <w:tcW w:type="dxa" w:w="4200"/>
            <w:tcMar>
              <w:top w:type="dxa" w:w="80"/>
              <w:left w:type="dxa" w:w="100"/>
              <w:bottom w:type="dxa" w:w="80"/>
              <w:right w:type="dxa" w:w="100"/>
            </w:tcMar>
            <w:vAlign w:val="center"/>
          </w:tcPr>
          <w:p>
            <w:pPr>
              <w:jc w:val="left"/>
            </w:pPr>
            <w:r>
              <w:rPr>
                <w:b w:val="false"/>
                <w:bCs w:val="false"/>
                <w:sz w:val="20"/>
                <w:szCs w:val="20"/>
              </w:rPr>
              <w:t xml:space="preserve">5.3.1 Peserta didik dapat membandingkan dan mengurutkan berbagai bentuk pecahan (termasuk pecahan campuran)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5.3.1 Membandingkan dan mengurutkan berbagai bentuk pecahan.</w:t>
            </w:r>
          </w:p>
        </w:tc>
        <w:tc>
          <w:tcPr>
            <w:tcW w:type="dxa" w:w="1900"/>
            <w:vMerge w:val="restart"/>
            <w:tcMar>
              <w:top w:type="dxa" w:w="80"/>
              <w:left w:type="dxa" w:w="100"/>
              <w:bottom w:type="dxa" w:w="80"/>
              <w:right w:type="dxa" w:w="100"/>
            </w:tcMar>
            <w:vAlign w:val="center"/>
          </w:tcPr>
          <w:p>
            <w:r>
              <w:rPr>
                <w:sz w:val="20"/>
                <w:szCs w:val="20"/>
              </w:rPr>
              <w:t xml:space="preserve">Hierarki &amp; Mudah ke Sulit: setelah menguasai operasi bilangan cacah serta KPK/FPB, peserta didik diperkenalkan pada bilangan pecahan yang memerlukan pemahaman kelipatan dan faktor dalam penyederhanaannya.</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5.3.2 Peserta didik dapat melakukan operasi penjumlahan dan pengurangan bilangan pecahan dengan benar.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5.3.2 Melakukan operasi penjumlahan dan pengurangan bilangan pecahan.</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5.3.3 Peserta didik dapat menyelesaikan masalah sehari-hari yang melibatkan operasi hitung pecahan.</w:t>
            </w:r>
          </w:p>
        </w:tc>
        <w:tc>
          <w:tcPr>
            <w:tcW w:type="dxa" w:w="4200"/>
            <w:tcMar>
              <w:top w:type="dxa" w:w="80"/>
              <w:left w:type="dxa" w:w="100"/>
              <w:bottom w:type="dxa" w:w="80"/>
              <w:right w:type="dxa" w:w="100"/>
            </w:tcMar>
            <w:vAlign w:val="center"/>
          </w:tcPr>
          <w:p>
            <w:pPr>
              <w:jc w:val="left"/>
            </w:pPr>
            <w:r>
              <w:rPr>
                <w:b w:val="false"/>
                <w:bCs w:val="false"/>
                <w:sz w:val="20"/>
                <w:szCs w:val="20"/>
              </w:rPr>
              <w:t xml:space="preserve">5.3.3 Menyelesaikan masalah sehari-hari yang melibatkan operasi hitung pecahan.</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4</w:t>
            </w:r>
          </w:p>
        </w:tc>
        <w:tc>
          <w:tcPr>
            <w:tcW w:type="dxa" w:w="1900"/>
            <w:vMerge w:val="restart"/>
            <w:tcMar>
              <w:top w:type="dxa" w:w="80"/>
              <w:left w:type="dxa" w:w="100"/>
              <w:bottom w:type="dxa" w:w="80"/>
              <w:right w:type="dxa" w:w="100"/>
            </w:tcMar>
            <w:vAlign w:val="center"/>
          </w:tcPr>
          <w:p>
            <w:r>
              <w:rPr>
                <w:b/>
                <w:bCs/>
                <w:sz w:val="20"/>
                <w:szCs w:val="20"/>
              </w:rPr>
              <w:t xml:space="preserve">Pengukuran</w:t>
            </w:r>
          </w:p>
        </w:tc>
        <w:tc>
          <w:tcPr>
            <w:tcW w:type="dxa" w:w="2900"/>
            <w:vMerge w:val="restart"/>
            <w:tcMar>
              <w:top w:type="dxa" w:w="80"/>
              <w:left w:type="dxa" w:w="100"/>
              <w:bottom w:type="dxa" w:w="80"/>
              <w:right w:type="dxa" w:w="100"/>
            </w:tcMar>
            <w:vAlign w:val="center"/>
          </w:tcPr>
          <w:p>
            <w:r>
              <w:rPr>
                <w:b/>
                <w:bCs/>
                <w:sz w:val="20"/>
                <w:szCs w:val="20"/>
              </w:rPr>
              <w:t xml:space="preserve">Bab 4: Keliling Bangun Datar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5.4.1 Peserta didik dapat mengidentifikasi situasi sehari-hari yang memerlukan penghitungan keliling bangun datar.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5.4.1 Mengidentifikasi situasi sehari-hari yang memerlukan penghitungan keliling bangun datar.</w:t>
            </w:r>
          </w:p>
        </w:tc>
        <w:tc>
          <w:tcPr>
            <w:tcW w:type="dxa" w:w="1900"/>
            <w:vMerge w:val="restart"/>
            <w:tcMar>
              <w:top w:type="dxa" w:w="80"/>
              <w:left w:type="dxa" w:w="100"/>
              <w:bottom w:type="dxa" w:w="80"/>
              <w:right w:type="dxa" w:w="100"/>
            </w:tcMar>
            <w:vAlign w:val="center"/>
          </w:tcPr>
          <w:p>
            <w:r>
              <w:rPr>
                <w:sz w:val="20"/>
                <w:szCs w:val="20"/>
              </w:rPr>
              <w:t xml:space="preserve">Konkret ke Abstrak: beralih dari topik bilangan ke geometri pengukuran, dimulai dengan konsep keliling yang lebih konkret dan mudah diamati sebelum mempelajari konsep luas yang lebih kompleks.</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5.4.2 Peserta didik dapat menemukan dan menerapkan cara menghitung keliling berbagai bangun datar (segitiga, segiempat, dan segi banyak)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5.4.2 Menemukan dan menerapkan cara menghitung keliling berbagai bangun datar.</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5</w:t>
            </w:r>
          </w:p>
        </w:tc>
        <w:tc>
          <w:tcPr>
            <w:tcW w:type="dxa" w:w="1900"/>
            <w:vMerge w:val="restart"/>
            <w:tcMar>
              <w:top w:type="dxa" w:w="80"/>
              <w:left w:type="dxa" w:w="100"/>
              <w:bottom w:type="dxa" w:w="80"/>
              <w:right w:type="dxa" w:w="100"/>
            </w:tcMar>
            <w:vAlign w:val="center"/>
          </w:tcPr>
          <w:p>
            <w:r>
              <w:rPr>
                <w:b/>
                <w:bCs/>
                <w:sz w:val="20"/>
                <w:szCs w:val="20"/>
              </w:rPr>
              <w:t xml:space="preserve">Pengukuran</w:t>
            </w:r>
          </w:p>
        </w:tc>
        <w:tc>
          <w:tcPr>
            <w:tcW w:type="dxa" w:w="2900"/>
            <w:vMerge w:val="restart"/>
            <w:tcMar>
              <w:top w:type="dxa" w:w="80"/>
              <w:left w:type="dxa" w:w="100"/>
              <w:bottom w:type="dxa" w:w="80"/>
              <w:right w:type="dxa" w:w="100"/>
            </w:tcMar>
            <w:vAlign w:val="center"/>
          </w:tcPr>
          <w:p>
            <w:r>
              <w:rPr>
                <w:b/>
                <w:bCs/>
                <w:sz w:val="20"/>
                <w:szCs w:val="20"/>
              </w:rPr>
              <w:t xml:space="preserve">Bab 5: Luas Daerah Bangun Datar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5.5.1 Peserta didik dapat mengidentifikasi situasi sehari-hari yang memerlukan penghitungan luas daerah bangun datar.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5.5.1 Mengidentifikasi situasi sehari-hari yang memerlukan penghitungan luas daerah bangun datar.</w:t>
            </w:r>
          </w:p>
        </w:tc>
        <w:tc>
          <w:tcPr>
            <w:tcW w:type="dxa" w:w="1900"/>
            <w:vMerge w:val="restart"/>
            <w:tcMar>
              <w:top w:type="dxa" w:w="80"/>
              <w:left w:type="dxa" w:w="100"/>
              <w:bottom w:type="dxa" w:w="80"/>
              <w:right w:type="dxa" w:w="100"/>
            </w:tcMar>
            <w:vAlign w:val="center"/>
          </w:tcPr>
          <w:p>
            <w:r>
              <w:rPr>
                <w:sz w:val="20"/>
                <w:szCs w:val="20"/>
              </w:rPr>
              <w:t xml:space="preserve">Hierarki &amp; Mudah ke Sulit: pemahaman keliling pada Bab 4 menjadi dasar sebelum mempelajari konsep luas daerah bangun datar yang lebih kompleks.</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5.5.2 Peserta didik dapat menemukan dan menerapkan cara menghitung luas berbagai daerah bangun datar serta gabungannya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5.5.2 Menemukan dan menerapkan cara menghitung luas berbagai daerah bangun datar dan gabungannya.</w:t>
            </w:r>
          </w:p>
        </w:tc>
        <w:tc>
          <w:tcPr>
            <w:vMerge w:val="continue"/>
          </w:tcPr>
          <w:p/>
        </w:tc>
      </w:tr>
    </w:tbl>
    <w:p/>
    <w:p>
      <w:pPr>
        <w:pageBreakBefore/>
      </w:pPr>
      <w:r>
        <w:br/>
        <w:t xml:space="preserve"/>
      </w:r>
    </w:p>
    <w:p>
      <w:pPr>
        <w:pStyle w:val="Heading2"/>
      </w:pPr>
      <w:r>
        <w:rPr>
          <w:b/>
          <w:bCs/>
          <w:sz w:val="24"/>
          <w:szCs w:val="24"/>
        </w:rPr>
        <w:t xml:space="preserve">C. Tujuan Pembelajaran (TP) dan Alur Tujuan Pembelajaran (ATP) — Semester 2</w:t>
      </w:r>
    </w:p>
    <w:p/>
    <w:tbl>
      <w:tblPr>
        <w:tblW w:type="dxa" w:w="15000"/>
        <w:tblBorders>
          <w:top w:val="single" w:color="auto" w:sz="4"/>
          <w:left w:val="single" w:color="auto" w:sz="4"/>
          <w:bottom w:val="single" w:color="auto" w:sz="4"/>
          <w:right w:val="single" w:color="auto" w:sz="4"/>
          <w:insideH w:val="single" w:color="auto" w:sz="4"/>
          <w:insideV w:val="single" w:color="auto" w:sz="4"/>
        </w:tblBorders>
      </w:tblPr>
      <w:tblGrid>
        <w:gridCol w:w="500"/>
        <w:gridCol w:w="1900"/>
        <w:gridCol w:w="2900"/>
        <w:gridCol w:w="4200"/>
        <w:gridCol w:w="4200"/>
        <w:gridCol w:w="1900"/>
      </w:tblGrid>
      <w:tr>
        <w:trPr>
          <w:tblHeader/>
        </w:trPr>
        <w:tc>
          <w:tcPr>
            <w:tcW w:type="dxa" w:w="500"/>
            <w:shd w:fill="D9E2F3" w:val="clear"/>
            <w:tcMar>
              <w:top w:type="dxa" w:w="80"/>
              <w:left w:type="dxa" w:w="100"/>
              <w:bottom w:type="dxa" w:w="80"/>
              <w:right w:type="dxa" w:w="100"/>
            </w:tcMar>
            <w:vAlign w:val="center"/>
          </w:tcPr>
          <w:p>
            <w:pPr>
              <w:jc w:val="center"/>
            </w:pPr>
            <w:r>
              <w:rPr>
                <w:b/>
                <w:bCs/>
                <w:sz w:val="20"/>
                <w:szCs w:val="20"/>
              </w:rPr>
              <w:t xml:space="preserve">No</w:t>
            </w:r>
          </w:p>
        </w:tc>
        <w:tc>
          <w:tcPr>
            <w:tcW w:type="dxa" w:w="1900"/>
            <w:shd w:fill="D9E2F3" w:val="clear"/>
            <w:tcMar>
              <w:top w:type="dxa" w:w="80"/>
              <w:left w:type="dxa" w:w="100"/>
              <w:bottom w:type="dxa" w:w="80"/>
              <w:right w:type="dxa" w:w="100"/>
            </w:tcMar>
            <w:vAlign w:val="center"/>
          </w:tcPr>
          <w:p>
            <w:pPr>
              <w:jc w:val="center"/>
            </w:pPr>
            <w:r>
              <w:rPr>
                <w:b/>
                <w:bCs/>
                <w:sz w:val="20"/>
                <w:szCs w:val="20"/>
              </w:rPr>
              <w:t xml:space="preserve">Elemen</w:t>
            </w:r>
          </w:p>
        </w:tc>
        <w:tc>
          <w:tcPr>
            <w:tcW w:type="dxa" w:w="2900"/>
            <w:shd w:fill="D9E2F3" w:val="clear"/>
            <w:tcMar>
              <w:top w:type="dxa" w:w="80"/>
              <w:left w:type="dxa" w:w="100"/>
              <w:bottom w:type="dxa" w:w="80"/>
              <w:right w:type="dxa" w:w="100"/>
            </w:tcMar>
            <w:vAlign w:val="center"/>
          </w:tcPr>
          <w:p>
            <w:pPr>
              <w:jc w:val="center"/>
            </w:pPr>
            <w:r>
              <w:rPr>
                <w:b/>
                <w:bCs/>
                <w:sz w:val="20"/>
                <w:szCs w:val="20"/>
              </w:rPr>
              <w:t xml:space="preserve">Materi/Bab</w:t>
            </w:r>
          </w:p>
        </w:tc>
        <w:tc>
          <w:tcPr>
            <w:tcW w:type="dxa" w:w="4200"/>
            <w:shd w:fill="D9E2F3" w:val="clear"/>
            <w:tcMar>
              <w:top w:type="dxa" w:w="80"/>
              <w:left w:type="dxa" w:w="100"/>
              <w:bottom w:type="dxa" w:w="80"/>
              <w:right w:type="dxa" w:w="100"/>
            </w:tcMar>
            <w:vAlign w:val="center"/>
          </w:tcPr>
          <w:p>
            <w:pPr>
              <w:jc w:val="center"/>
            </w:pPr>
            <w:r>
              <w:rPr>
                <w:b/>
                <w:bCs/>
                <w:sz w:val="20"/>
                <w:szCs w:val="20"/>
              </w:rPr>
              <w:t xml:space="preserve">TP
(Tujuan Pembelajaran)</w:t>
            </w:r>
          </w:p>
        </w:tc>
        <w:tc>
          <w:tcPr>
            <w:tcW w:type="dxa" w:w="4200"/>
            <w:shd w:fill="D9E2F3" w:val="clear"/>
            <w:tcMar>
              <w:top w:type="dxa" w:w="80"/>
              <w:left w:type="dxa" w:w="100"/>
              <w:bottom w:type="dxa" w:w="80"/>
              <w:right w:type="dxa" w:w="100"/>
            </w:tcMar>
            <w:vAlign w:val="center"/>
          </w:tcPr>
          <w:p>
            <w:pPr>
              <w:jc w:val="center"/>
            </w:pPr>
            <w:r>
              <w:rPr>
                <w:b/>
                <w:bCs/>
                <w:sz w:val="20"/>
                <w:szCs w:val="20"/>
              </w:rPr>
              <w:t xml:space="preserve">ATP
(Alur Tujuan Pembelajaran)</w:t>
            </w:r>
          </w:p>
        </w:tc>
        <w:tc>
          <w:tcPr>
            <w:tcW w:type="dxa" w:w="1900"/>
            <w:shd w:fill="D9E2F3" w:val="clear"/>
            <w:tcMar>
              <w:top w:type="dxa" w:w="80"/>
              <w:left w:type="dxa" w:w="100"/>
              <w:bottom w:type="dxa" w:w="80"/>
              <w:right w:type="dxa" w:w="100"/>
            </w:tcMar>
            <w:vAlign w:val="center"/>
          </w:tcPr>
          <w:p>
            <w:pPr>
              <w:jc w:val="center"/>
            </w:pPr>
            <w:r>
              <w:rPr>
                <w:b/>
                <w:bCs/>
                <w:sz w:val="20"/>
                <w:szCs w:val="20"/>
              </w:rPr>
              <w:t xml:space="preserve">Justifikasi Pengurutan</w:t>
            </w: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6</w:t>
            </w:r>
          </w:p>
        </w:tc>
        <w:tc>
          <w:tcPr>
            <w:tcW w:type="dxa" w:w="1900"/>
            <w:vMerge w:val="restart"/>
            <w:tcMar>
              <w:top w:type="dxa" w:w="80"/>
              <w:left w:type="dxa" w:w="100"/>
              <w:bottom w:type="dxa" w:w="80"/>
              <w:right w:type="dxa" w:w="100"/>
            </w:tcMar>
            <w:vAlign w:val="center"/>
          </w:tcPr>
          <w:p>
            <w:r>
              <w:rPr>
                <w:b/>
                <w:bCs/>
                <w:sz w:val="20"/>
                <w:szCs w:val="20"/>
              </w:rPr>
              <w:t xml:space="preserve">Pengukuran</w:t>
            </w:r>
          </w:p>
        </w:tc>
        <w:tc>
          <w:tcPr>
            <w:tcW w:type="dxa" w:w="2900"/>
            <w:vMerge w:val="restart"/>
            <w:tcMar>
              <w:top w:type="dxa" w:w="80"/>
              <w:left w:type="dxa" w:w="100"/>
              <w:bottom w:type="dxa" w:w="80"/>
              <w:right w:type="dxa" w:w="100"/>
            </w:tcMar>
            <w:vAlign w:val="center"/>
          </w:tcPr>
          <w:p>
            <w:r>
              <w:rPr>
                <w:b/>
                <w:bCs/>
                <w:sz w:val="20"/>
                <w:szCs w:val="20"/>
              </w:rPr>
              <w:t xml:space="preserve">Bab 6: Sudut</w:t>
            </w:r>
          </w:p>
        </w:tc>
        <w:tc>
          <w:tcPr>
            <w:tcW w:type="dxa" w:w="4200"/>
            <w:tcMar>
              <w:top w:type="dxa" w:w="80"/>
              <w:left w:type="dxa" w:w="100"/>
              <w:bottom w:type="dxa" w:w="80"/>
              <w:right w:type="dxa" w:w="100"/>
            </w:tcMar>
            <w:vAlign w:val="center"/>
          </w:tcPr>
          <w:p>
            <w:pPr>
              <w:jc w:val="left"/>
            </w:pPr>
            <w:r>
              <w:rPr>
                <w:b w:val="false"/>
                <w:bCs w:val="false"/>
                <w:sz w:val="20"/>
                <w:szCs w:val="20"/>
              </w:rPr>
              <w:t xml:space="preserve">5.6.1 Peserta didik dapat memahami bagian-bagian sudut dan menyebutkan jenis-jenis sudut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5.6.1 Memahami bagian-bagian sudut dan menyebutkan jenis-jenis sudut.</w:t>
            </w:r>
          </w:p>
        </w:tc>
        <w:tc>
          <w:tcPr>
            <w:tcW w:type="dxa" w:w="1900"/>
            <w:vMerge w:val="restart"/>
            <w:tcMar>
              <w:top w:type="dxa" w:w="80"/>
              <w:left w:type="dxa" w:w="100"/>
              <w:bottom w:type="dxa" w:w="80"/>
              <w:right w:type="dxa" w:w="100"/>
            </w:tcMar>
            <w:vAlign w:val="center"/>
          </w:tcPr>
          <w:p>
            <w:r>
              <w:rPr>
                <w:sz w:val="20"/>
                <w:szCs w:val="20"/>
              </w:rPr>
              <w:t xml:space="preserve">Hierarki: melanjutkan topik geometri pengukuran dari semester 1 (keliling dan luas) dengan mempelajari konsep sudut sebagai salah satu unsur pembentuk bangun datar.</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5.6.2 Peserta didik dapat mengukur dan membandingkan besar sudut menggunakan busur derajat dengan benar.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5.6.2 Mengukur dan membandingkan besar sudut menggunakan busur derajat.</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5.6.3 Peserta didik dapat menggambar sudut dengan ukuran tertentu secara mandiri.</w:t>
            </w:r>
          </w:p>
        </w:tc>
        <w:tc>
          <w:tcPr>
            <w:tcW w:type="dxa" w:w="4200"/>
            <w:tcMar>
              <w:top w:type="dxa" w:w="80"/>
              <w:left w:type="dxa" w:w="100"/>
              <w:bottom w:type="dxa" w:w="80"/>
              <w:right w:type="dxa" w:w="100"/>
            </w:tcMar>
            <w:vAlign w:val="center"/>
          </w:tcPr>
          <w:p>
            <w:pPr>
              <w:jc w:val="left"/>
            </w:pPr>
            <w:r>
              <w:rPr>
                <w:b w:val="false"/>
                <w:bCs w:val="false"/>
                <w:sz w:val="20"/>
                <w:szCs w:val="20"/>
              </w:rPr>
              <w:t xml:space="preserve">5.6.3 Menggambar sudut dengan ukuran tertentu.</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7</w:t>
            </w:r>
          </w:p>
        </w:tc>
        <w:tc>
          <w:tcPr>
            <w:tcW w:type="dxa" w:w="1900"/>
            <w:vMerge w:val="restart"/>
            <w:tcMar>
              <w:top w:type="dxa" w:w="80"/>
              <w:left w:type="dxa" w:w="100"/>
              <w:bottom w:type="dxa" w:w="80"/>
              <w:right w:type="dxa" w:w="100"/>
            </w:tcMar>
            <w:vAlign w:val="center"/>
          </w:tcPr>
          <w:p>
            <w:r>
              <w:rPr>
                <w:b/>
                <w:bCs/>
                <w:sz w:val="20"/>
                <w:szCs w:val="20"/>
              </w:rPr>
              <w:t xml:space="preserve">Geometri</w:t>
            </w:r>
          </w:p>
        </w:tc>
        <w:tc>
          <w:tcPr>
            <w:tcW w:type="dxa" w:w="2900"/>
            <w:vMerge w:val="restart"/>
            <w:tcMar>
              <w:top w:type="dxa" w:w="80"/>
              <w:left w:type="dxa" w:w="100"/>
              <w:bottom w:type="dxa" w:w="80"/>
              <w:right w:type="dxa" w:w="100"/>
            </w:tcMar>
            <w:vAlign w:val="center"/>
          </w:tcPr>
          <w:p>
            <w:r>
              <w:rPr>
                <w:b/>
                <w:bCs/>
                <w:sz w:val="20"/>
                <w:szCs w:val="20"/>
              </w:rPr>
              <w:t xml:space="preserve">Bab 7: Membandingkan Ciri-Ciri Bangun Datar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5.7.1 Peserta didik dapat mengidentifikasi ciri-ciri berbagai macam bangun datar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5.7.1 Mengidentifikasi ciri-ciri berbagai macam bangun datar.</w:t>
            </w:r>
          </w:p>
        </w:tc>
        <w:tc>
          <w:tcPr>
            <w:tcW w:type="dxa" w:w="1900"/>
            <w:vMerge w:val="restart"/>
            <w:tcMar>
              <w:top w:type="dxa" w:w="80"/>
              <w:left w:type="dxa" w:w="100"/>
              <w:bottom w:type="dxa" w:w="80"/>
              <w:right w:type="dxa" w:w="100"/>
            </w:tcMar>
            <w:vAlign w:val="center"/>
          </w:tcPr>
          <w:p>
            <w:r>
              <w:rPr>
                <w:sz w:val="20"/>
                <w:szCs w:val="20"/>
              </w:rPr>
              <w:t xml:space="preserve">Hierarki: pemahaman tentang sudut, keliling, dan luas pada bab-bab sebelumnya menjadi bekal untuk membandingkan karakteristik berbagai bangun datar secara lebih menyeluruh.</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5.7.2 Peserta didik dapat membandingkan karakteristik antarbangun datar berdasarkan ciri-cirinya secara kritis.</w:t>
            </w:r>
          </w:p>
        </w:tc>
        <w:tc>
          <w:tcPr>
            <w:tcW w:type="dxa" w:w="4200"/>
            <w:tcMar>
              <w:top w:type="dxa" w:w="80"/>
              <w:left w:type="dxa" w:w="100"/>
              <w:bottom w:type="dxa" w:w="80"/>
              <w:right w:type="dxa" w:w="100"/>
            </w:tcMar>
            <w:vAlign w:val="center"/>
          </w:tcPr>
          <w:p>
            <w:pPr>
              <w:jc w:val="left"/>
            </w:pPr>
            <w:r>
              <w:rPr>
                <w:b w:val="false"/>
                <w:bCs w:val="false"/>
                <w:sz w:val="20"/>
                <w:szCs w:val="20"/>
              </w:rPr>
              <w:t xml:space="preserve">5.7.2 Membandingkan karakteristik antarbangun datar berdasarkan ciri-cirinya.</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8</w:t>
            </w:r>
          </w:p>
        </w:tc>
        <w:tc>
          <w:tcPr>
            <w:tcW w:type="dxa" w:w="1900"/>
            <w:vMerge w:val="restart"/>
            <w:tcMar>
              <w:top w:type="dxa" w:w="80"/>
              <w:left w:type="dxa" w:w="100"/>
              <w:bottom w:type="dxa" w:w="80"/>
              <w:right w:type="dxa" w:w="100"/>
            </w:tcMar>
            <w:vAlign w:val="center"/>
          </w:tcPr>
          <w:p>
            <w:r>
              <w:rPr>
                <w:b/>
                <w:bCs/>
                <w:sz w:val="20"/>
                <w:szCs w:val="20"/>
              </w:rPr>
              <w:t xml:space="preserve">Analisis Data dan Peluang</w:t>
            </w:r>
          </w:p>
        </w:tc>
        <w:tc>
          <w:tcPr>
            <w:tcW w:type="dxa" w:w="2900"/>
            <w:vMerge w:val="restart"/>
            <w:tcMar>
              <w:top w:type="dxa" w:w="80"/>
              <w:left w:type="dxa" w:w="100"/>
              <w:bottom w:type="dxa" w:w="80"/>
              <w:right w:type="dxa" w:w="100"/>
            </w:tcMar>
            <w:vAlign w:val="center"/>
          </w:tcPr>
          <w:p>
            <w:r>
              <w:rPr>
                <w:b/>
                <w:bCs/>
                <w:sz w:val="20"/>
                <w:szCs w:val="20"/>
              </w:rPr>
              <w:t xml:space="preserve">Bab 8: Data</w:t>
            </w:r>
          </w:p>
        </w:tc>
        <w:tc>
          <w:tcPr>
            <w:tcW w:type="dxa" w:w="4200"/>
            <w:tcMar>
              <w:top w:type="dxa" w:w="80"/>
              <w:left w:type="dxa" w:w="100"/>
              <w:bottom w:type="dxa" w:w="80"/>
              <w:right w:type="dxa" w:w="100"/>
            </w:tcMar>
            <w:vAlign w:val="center"/>
          </w:tcPr>
          <w:p>
            <w:pPr>
              <w:jc w:val="left"/>
            </w:pPr>
            <w:r>
              <w:rPr>
                <w:b w:val="false"/>
                <w:bCs w:val="false"/>
                <w:sz w:val="20"/>
                <w:szCs w:val="20"/>
              </w:rPr>
              <w:t xml:space="preserve">5.8.1 Peserta didik dapat mengumpulkan data sederhana dari lingkungan sekitar dan menyajikannya dalam tabel frekuensi sederhana.</w:t>
            </w:r>
          </w:p>
        </w:tc>
        <w:tc>
          <w:tcPr>
            <w:tcW w:type="dxa" w:w="4200"/>
            <w:tcMar>
              <w:top w:type="dxa" w:w="80"/>
              <w:left w:type="dxa" w:w="100"/>
              <w:bottom w:type="dxa" w:w="80"/>
              <w:right w:type="dxa" w:w="100"/>
            </w:tcMar>
            <w:vAlign w:val="center"/>
          </w:tcPr>
          <w:p>
            <w:pPr>
              <w:jc w:val="left"/>
            </w:pPr>
            <w:r>
              <w:rPr>
                <w:b w:val="false"/>
                <w:bCs w:val="false"/>
                <w:sz w:val="20"/>
                <w:szCs w:val="20"/>
              </w:rPr>
              <w:t xml:space="preserve">5.8.1 Mengumpulkan data sederhana dan menyajikannya dalam tabel frekuensi.</w:t>
            </w:r>
          </w:p>
        </w:tc>
        <w:tc>
          <w:tcPr>
            <w:tcW w:type="dxa" w:w="1900"/>
            <w:vMerge w:val="restart"/>
            <w:tcMar>
              <w:top w:type="dxa" w:w="80"/>
              <w:left w:type="dxa" w:w="100"/>
              <w:bottom w:type="dxa" w:w="80"/>
              <w:right w:type="dxa" w:w="100"/>
            </w:tcMar>
            <w:vAlign w:val="center"/>
          </w:tcPr>
          <w:p>
            <w:r>
              <w:rPr>
                <w:sz w:val="20"/>
                <w:szCs w:val="20"/>
              </w:rPr>
              <w:t xml:space="preserve">Konkret ke Abstrak: beralih dari topik geometri ke analisis data, dimulai dari pengumpulan data konkret di lingkungan sekitar sebelum menyajikan dan menganalisisnya dalam representasi yang lebih abstrak (piktogram, diagram batang).</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5.8.2 Peserta didik dapat membuat piktogram, diagram batang vertikal, horizontal, dan diagram batang ganda dari data yang dikumpulkan.</w:t>
            </w:r>
          </w:p>
        </w:tc>
        <w:tc>
          <w:tcPr>
            <w:tcW w:type="dxa" w:w="4200"/>
            <w:tcMar>
              <w:top w:type="dxa" w:w="80"/>
              <w:left w:type="dxa" w:w="100"/>
              <w:bottom w:type="dxa" w:w="80"/>
              <w:right w:type="dxa" w:w="100"/>
            </w:tcMar>
            <w:vAlign w:val="center"/>
          </w:tcPr>
          <w:p>
            <w:pPr>
              <w:jc w:val="left"/>
            </w:pPr>
            <w:r>
              <w:rPr>
                <w:b w:val="false"/>
                <w:bCs w:val="false"/>
                <w:sz w:val="20"/>
                <w:szCs w:val="20"/>
              </w:rPr>
              <w:t xml:space="preserve">5.8.2 Membuat piktogram serta diagram batang vertikal, horizontal, dan ganda.</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5.8.3 Peserta didik dapat membaca dan menganalisis data dari piktogram dan diagram batang untuk memperoleh informasi.</w:t>
            </w:r>
          </w:p>
        </w:tc>
        <w:tc>
          <w:tcPr>
            <w:tcW w:type="dxa" w:w="4200"/>
            <w:tcMar>
              <w:top w:type="dxa" w:w="80"/>
              <w:left w:type="dxa" w:w="100"/>
              <w:bottom w:type="dxa" w:w="80"/>
              <w:right w:type="dxa" w:w="100"/>
            </w:tcMar>
            <w:vAlign w:val="center"/>
          </w:tcPr>
          <w:p>
            <w:pPr>
              <w:jc w:val="left"/>
            </w:pPr>
            <w:r>
              <w:rPr>
                <w:b w:val="false"/>
                <w:bCs w:val="false"/>
                <w:sz w:val="20"/>
                <w:szCs w:val="20"/>
              </w:rPr>
              <w:t xml:space="preserve">5.8.3 Membaca dan menganalisis data dari piktogram dan diagram batang.</w:t>
            </w:r>
          </w:p>
        </w:tc>
        <w:tc>
          <w:tcPr>
            <w:vMerge w:val="continue"/>
          </w:tcPr>
          <w:p/>
        </w:tc>
      </w:tr>
      <w:tr>
        <w:tc>
          <w:tcPr>
            <w:tcW w:type="dxa" w:w="500"/>
            <w:vMerge w:val="restart"/>
            <w:tcMar>
              <w:top w:type="dxa" w:w="80"/>
              <w:left w:type="dxa" w:w="100"/>
              <w:bottom w:type="dxa" w:w="80"/>
              <w:right w:type="dxa" w:w="100"/>
            </w:tcMar>
            <w:vAlign w:val="center"/>
          </w:tcPr>
          <w:p>
            <w:pPr>
              <w:jc w:val="center"/>
            </w:pPr>
            <w:r>
              <w:rPr>
                <w:b/>
                <w:bCs/>
                <w:sz w:val="20"/>
                <w:szCs w:val="20"/>
              </w:rPr>
              <w:t xml:space="preserve">9</w:t>
            </w:r>
          </w:p>
        </w:tc>
        <w:tc>
          <w:tcPr>
            <w:tcW w:type="dxa" w:w="1900"/>
            <w:vMerge w:val="restart"/>
            <w:tcMar>
              <w:top w:type="dxa" w:w="80"/>
              <w:left w:type="dxa" w:w="100"/>
              <w:bottom w:type="dxa" w:w="80"/>
              <w:right w:type="dxa" w:w="100"/>
            </w:tcMar>
            <w:vAlign w:val="center"/>
          </w:tcPr>
          <w:p>
            <w:r>
              <w:rPr>
                <w:b/>
                <w:bCs/>
                <w:sz w:val="20"/>
                <w:szCs w:val="20"/>
              </w:rPr>
              <w:t xml:space="preserve">Bilangan</w:t>
            </w:r>
          </w:p>
        </w:tc>
        <w:tc>
          <w:tcPr>
            <w:tcW w:type="dxa" w:w="2900"/>
            <w:vMerge w:val="restart"/>
            <w:tcMar>
              <w:top w:type="dxa" w:w="80"/>
              <w:left w:type="dxa" w:w="100"/>
              <w:bottom w:type="dxa" w:w="80"/>
              <w:right w:type="dxa" w:w="100"/>
            </w:tcMar>
            <w:vAlign w:val="center"/>
          </w:tcPr>
          <w:p>
            <w:r>
              <w:rPr>
                <w:b/>
                <w:bCs/>
                <w:sz w:val="20"/>
                <w:szCs w:val="20"/>
              </w:rPr>
              <w:t xml:space="preserve">Bab 9: Bilangan Cacah Sampai 1.000.000</w:t>
            </w:r>
          </w:p>
        </w:tc>
        <w:tc>
          <w:tcPr>
            <w:tcW w:type="dxa" w:w="4200"/>
            <w:tcMar>
              <w:top w:type="dxa" w:w="80"/>
              <w:left w:type="dxa" w:w="100"/>
              <w:bottom w:type="dxa" w:w="80"/>
              <w:right w:type="dxa" w:w="100"/>
            </w:tcMar>
            <w:vAlign w:val="center"/>
          </w:tcPr>
          <w:p>
            <w:pPr>
              <w:jc w:val="left"/>
            </w:pPr>
            <w:r>
              <w:rPr>
                <w:b w:val="false"/>
                <w:bCs w:val="false"/>
                <w:sz w:val="20"/>
                <w:szCs w:val="20"/>
              </w:rPr>
              <w:t xml:space="preserve">5.9.1 Peserta didik dapat membaca, menulis, dan menentukan nilai tempat bilangan cacah sampai 1.000.000 dengan tepat.</w:t>
            </w:r>
          </w:p>
        </w:tc>
        <w:tc>
          <w:tcPr>
            <w:tcW w:type="dxa" w:w="4200"/>
            <w:tcMar>
              <w:top w:type="dxa" w:w="80"/>
              <w:left w:type="dxa" w:w="100"/>
              <w:bottom w:type="dxa" w:w="80"/>
              <w:right w:type="dxa" w:w="100"/>
            </w:tcMar>
            <w:vAlign w:val="center"/>
          </w:tcPr>
          <w:p>
            <w:pPr>
              <w:jc w:val="left"/>
            </w:pPr>
            <w:r>
              <w:rPr>
                <w:b w:val="false"/>
                <w:bCs w:val="false"/>
                <w:sz w:val="20"/>
                <w:szCs w:val="20"/>
              </w:rPr>
              <w:t xml:space="preserve">5.9.1 Membaca, menulis, dan menentukan nilai tempat bilangan cacah sampai 1.000.000.</w:t>
            </w:r>
          </w:p>
        </w:tc>
        <w:tc>
          <w:tcPr>
            <w:tcW w:type="dxa" w:w="1900"/>
            <w:vMerge w:val="restart"/>
            <w:tcMar>
              <w:top w:type="dxa" w:w="80"/>
              <w:left w:type="dxa" w:w="100"/>
              <w:bottom w:type="dxa" w:w="80"/>
              <w:right w:type="dxa" w:w="100"/>
            </w:tcMar>
            <w:vAlign w:val="center"/>
          </w:tcPr>
          <w:p>
            <w:r>
              <w:rPr>
                <w:sz w:val="20"/>
                <w:szCs w:val="20"/>
              </w:rPr>
              <w:t xml:space="preserve">Mudah ke Sulit: menutup tahun ajaran dengan memperluas pemahaman bilangan cacah dari 100.000 (Bab 1) menjadi 1.000.000, sebagai puncak penguatan number sense peserta didik di kelas V.</w:t>
            </w: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5.9.2 Peserta didik dapat membandingkan dan mengurutkan bilangan cacah sampai 1.000.000 dengan benar.</w:t>
            </w:r>
          </w:p>
        </w:tc>
        <w:tc>
          <w:tcPr>
            <w:tcW w:type="dxa" w:w="4200"/>
            <w:tcMar>
              <w:top w:type="dxa" w:w="80"/>
              <w:left w:type="dxa" w:w="100"/>
              <w:bottom w:type="dxa" w:w="80"/>
              <w:right w:type="dxa" w:w="100"/>
            </w:tcMar>
            <w:vAlign w:val="center"/>
          </w:tcPr>
          <w:p>
            <w:pPr>
              <w:jc w:val="left"/>
            </w:pPr>
            <w:r>
              <w:rPr>
                <w:b w:val="false"/>
                <w:bCs w:val="false"/>
                <w:sz w:val="20"/>
                <w:szCs w:val="20"/>
              </w:rPr>
              <w:t xml:space="preserve">5.9.2 Membandingkan dan mengurutkan bilangan cacah sampai 1.000.000.</w:t>
            </w:r>
          </w:p>
        </w:tc>
        <w:tc>
          <w:tcPr>
            <w:vMerge w:val="continue"/>
          </w:tcPr>
          <w:p/>
        </w:tc>
      </w:tr>
      <w:tr>
        <w:tc>
          <w:tcPr>
            <w:vMerge w:val="continue"/>
          </w:tcPr>
          <w:p/>
        </w:tc>
        <w:tc>
          <w:tcPr>
            <w:vMerge w:val="continue"/>
          </w:tcPr>
          <w:p/>
        </w:tc>
        <w:tc>
          <w:tcPr>
            <w:vMerge w:val="continue"/>
          </w:tcPr>
          <w:p/>
        </w:tc>
        <w:tc>
          <w:tcPr>
            <w:tcW w:type="dxa" w:w="4200"/>
            <w:tcMar>
              <w:top w:type="dxa" w:w="80"/>
              <w:left w:type="dxa" w:w="100"/>
              <w:bottom w:type="dxa" w:w="80"/>
              <w:right w:type="dxa" w:w="100"/>
            </w:tcMar>
            <w:vAlign w:val="center"/>
          </w:tcPr>
          <w:p>
            <w:pPr>
              <w:jc w:val="left"/>
            </w:pPr>
            <w:r>
              <w:rPr>
                <w:b w:val="false"/>
                <w:bCs w:val="false"/>
                <w:sz w:val="20"/>
                <w:szCs w:val="20"/>
              </w:rPr>
              <w:t xml:space="preserve">5.9.3 Peserta didik dapat menentukan komposisi dan dekomposisi bilangan cacah sampai 1.000.000.</w:t>
            </w:r>
          </w:p>
        </w:tc>
        <w:tc>
          <w:tcPr>
            <w:tcW w:type="dxa" w:w="4200"/>
            <w:tcMar>
              <w:top w:type="dxa" w:w="80"/>
              <w:left w:type="dxa" w:w="100"/>
              <w:bottom w:type="dxa" w:w="80"/>
              <w:right w:type="dxa" w:w="100"/>
            </w:tcMar>
            <w:vAlign w:val="center"/>
          </w:tcPr>
          <w:p>
            <w:pPr>
              <w:jc w:val="left"/>
            </w:pPr>
            <w:r>
              <w:rPr>
                <w:b w:val="false"/>
                <w:bCs w:val="false"/>
                <w:sz w:val="20"/>
                <w:szCs w:val="20"/>
              </w:rPr>
              <w:t xml:space="preserve">5.9.3 Menentukan komposisi dan dekomposisi bilangan cacah sampai 1.000.000.</w:t>
            </w:r>
          </w:p>
        </w:tc>
        <w:tc>
          <w:tcPr>
            <w:vMerge w:val="continue"/>
          </w:tcPr>
          <w:p/>
        </w:tc>
      </w:tr>
    </w:tbl>
    <w:p/>
    <w:p/>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6000"/>
        <w:gridCol w:w="6000"/>
      </w:tblGrid>
      <w:tr>
        <w:tc>
          <w:tcPr>
            <w:tcW w:type="dxa" w:w="6000"/>
            <w:tcBorders>
              <w:top w:val="none" w:color="FFFFFF" w:sz="0"/>
              <w:left w:val="none" w:color="FFFFFF" w:sz="0"/>
              <w:bottom w:val="none" w:color="FFFFFF" w:sz="0"/>
              <w:right w:val="none" w:color="FFFFFF" w:sz="0"/>
            </w:tcBorders>
          </w:tcPr>
          <w:p>
            <w:r>
              <w:rPr>
                <w:sz w:val="22"/>
                <w:szCs w:val="22"/>
              </w:rPr>
              <w:t xml:space="preserve">Mengetahui,</w:t>
            </w:r>
          </w:p>
          <w:p>
            <w:r>
              <w:rPr>
                <w:sz w:val="22"/>
                <w:szCs w:val="22"/>
              </w:rPr>
              <w:t xml:space="preserve">Kepala Sekolah</w:t>
            </w:r>
          </w:p>
        </w:tc>
        <w:tc>
          <w:tcPr>
            <w:tcW w:type="dxa" w:w="6000"/>
            <w:tcBorders>
              <w:top w:val="none" w:color="FFFFFF" w:sz="0"/>
              <w:left w:val="none" w:color="FFFFFF" w:sz="0"/>
              <w:bottom w:val="none" w:color="FFFFFF" w:sz="0"/>
              <w:right w:val="none" w:color="FFFFFF" w:sz="0"/>
            </w:tcBorders>
          </w:tcPr>
          <w:p>
            <w:r>
              <w:rPr>
                <w:sz w:val="22"/>
                <w:szCs w:val="22"/>
              </w:rPr>
              <w:t xml:space="preserve">Pontianak Utara, Juli 2026</w:t>
            </w:r>
          </w:p>
          <w:p>
            <w:r>
              <w:rPr>
                <w:sz w:val="22"/>
                <w:szCs w:val="22"/>
              </w:rPr>
              <w:t xml:space="preserve">Guru Mata Pelajaran</w:t>
            </w:r>
          </w:p>
        </w:tc>
      </w:tr>
      <w:tr>
        <w:tc>
          <w:tcPr>
            <w:tcW w:type="dxa" w:w="6000"/>
            <w:tcBorders>
              <w:top w:val="none" w:color="FFFFFF" w:sz="0"/>
              <w:left w:val="none" w:color="FFFFFF" w:sz="0"/>
              <w:bottom w:val="none" w:color="FFFFFF" w:sz="0"/>
              <w:right w:val="none" w:color="FFFFFF" w:sz="0"/>
            </w:tcBorders>
          </w:tcPr>
          <w:p/>
          <w:p/>
          <w:p/>
        </w:tc>
        <w:tc>
          <w:tcPr>
            <w:tcW w:type="dxa" w:w="6000"/>
            <w:tcBorders>
              <w:top w:val="none" w:color="FFFFFF" w:sz="0"/>
              <w:left w:val="none" w:color="FFFFFF" w:sz="0"/>
              <w:bottom w:val="none" w:color="FFFFFF" w:sz="0"/>
              <w:right w:val="none" w:color="FFFFFF" w:sz="0"/>
            </w:tcBorders>
          </w:tcPr>
          <w:p/>
          <w:p/>
          <w:p/>
        </w:tc>
      </w:tr>
      <w:tr>
        <w:tc>
          <w:tcPr>
            <w:tcW w:type="dxa" w:w="6000"/>
            <w:tcBorders>
              <w:top w:val="none" w:color="FFFFFF" w:sz="0"/>
              <w:left w:val="none" w:color="FFFFFF" w:sz="0"/>
              <w:bottom w:val="none" w:color="FFFFFF" w:sz="0"/>
              <w:right w:val="none" w:color="FFFFFF" w:sz="0"/>
            </w:tcBorders>
          </w:tcPr>
          <w:p>
            <w:r>
              <w:rPr>
                <w:b/>
                <w:bCs/>
                <w:sz w:val="22"/>
                <w:szCs w:val="22"/>
                <w:u w:val="single"/>
              </w:rPr>
              <w:t xml:space="preserve">Data Belum Terisi</w:t>
            </w:r>
          </w:p>
          <w:p>
            <w:r>
              <w:rPr>
                <w:sz w:val="22"/>
                <w:szCs w:val="22"/>
              </w:rPr>
              <w:t xml:space="preserve">NIP. Data Belum Terisi</w:t>
            </w:r>
          </w:p>
        </w:tc>
        <w:tc>
          <w:tcPr>
            <w:tcW w:type="dxa" w:w="6000"/>
            <w:tcBorders>
              <w:top w:val="none" w:color="FFFFFF" w:sz="0"/>
              <w:left w:val="none" w:color="FFFFFF" w:sz="0"/>
              <w:bottom w:val="none" w:color="FFFFFF" w:sz="0"/>
              <w:right w:val="none" w:color="FFFFFF" w:sz="0"/>
            </w:tcBorders>
          </w:tcPr>
          <w:p>
            <w:r>
              <w:rPr>
                <w:b/>
                <w:bCs/>
                <w:sz w:val="22"/>
                <w:szCs w:val="22"/>
                <w:u w:val="single"/>
              </w:rPr>
              <w:t xml:space="preserve">Data Belum Terisi</w:t>
            </w:r>
          </w:p>
          <w:p>
            <w:r>
              <w:rPr>
                <w:sz w:val="22"/>
                <w:szCs w:val="22"/>
              </w:rPr>
              <w:t xml:space="preserve">NIP. Data Belum Terisi</w:t>
            </w:r>
          </w:p>
        </w:tc>
      </w:tr>
    </w:tbl>
    <w:sectPr>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2026-09-19T11:17:35.604Z</dcterms:created>
  <dcterms:modified xsi:type="dcterms:W3CDTF">2026-09-19T11:17:35.612Z</dcterms:modified>
</cp:coreProperties>
</file>

<file path=docProps/custom.xml><?xml version="1.0" encoding="utf-8"?>
<Properties xmlns="http://schemas.openxmlformats.org/officeDocument/2006/custom-properties" xmlns:vt="http://schemas.openxmlformats.org/officeDocument/2006/docPropsVTypes"/>
</file>