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1C00" w14:textId="7EE75C47" w:rsidR="000F5EBF" w:rsidRDefault="000F5EBF" w:rsidP="000F5EBF">
      <w:pPr>
        <w:spacing w:after="0" w:line="240" w:lineRule="auto"/>
        <w:jc w:val="both"/>
        <w:rPr>
          <w:rFonts w:ascii="Garamond" w:eastAsia="Garamond" w:hAnsi="Garamond" w:cs="Garamond"/>
          <w:b/>
          <w:sz w:val="24"/>
          <w:szCs w:val="24"/>
        </w:rPr>
      </w:pPr>
    </w:p>
    <w:p w14:paraId="6C2BAE1E" w14:textId="77777777" w:rsidR="000F5EBF" w:rsidRDefault="000F5EBF" w:rsidP="000F5EBF">
      <w:pPr>
        <w:spacing w:after="0" w:line="240" w:lineRule="auto"/>
        <w:jc w:val="both"/>
        <w:rPr>
          <w:rFonts w:ascii="Garamond" w:eastAsia="Garamond" w:hAnsi="Garamond" w:cs="Garamond"/>
          <w:b/>
          <w:sz w:val="24"/>
          <w:szCs w:val="24"/>
        </w:rPr>
      </w:pPr>
    </w:p>
    <w:p w14:paraId="31CE2CFD" w14:textId="5DD72074" w:rsidR="000F5EBF" w:rsidRPr="0095091E" w:rsidRDefault="00286033" w:rsidP="000F5EBF">
      <w:pPr>
        <w:spacing w:after="0" w:line="240" w:lineRule="auto"/>
        <w:jc w:val="both"/>
        <w:rPr>
          <w:rFonts w:ascii="Garamond" w:eastAsia="Garamond" w:hAnsi="Garamond" w:cs="Garamond"/>
          <w:b/>
          <w:sz w:val="28"/>
          <w:szCs w:val="28"/>
        </w:rPr>
      </w:pPr>
      <w:r w:rsidRPr="00286033">
        <w:rPr>
          <w:rFonts w:ascii="Garamond" w:eastAsia="Garamond" w:hAnsi="Garamond" w:cs="Garamond"/>
          <w:b/>
          <w:sz w:val="28"/>
          <w:szCs w:val="28"/>
        </w:rPr>
        <w:t>JUDUL ARTIKEL: TULIS SATU KALIMAT YANG MENJELASKAN ISI ARTIKEL; MAKSIMUM 1</w:t>
      </w:r>
      <w:r>
        <w:rPr>
          <w:rFonts w:ascii="Garamond" w:eastAsia="Garamond" w:hAnsi="Garamond" w:cs="Garamond"/>
          <w:b/>
          <w:sz w:val="28"/>
          <w:szCs w:val="28"/>
        </w:rPr>
        <w:t>5</w:t>
      </w:r>
      <w:r w:rsidRPr="00286033">
        <w:rPr>
          <w:rFonts w:ascii="Garamond" w:eastAsia="Garamond" w:hAnsi="Garamond" w:cs="Garamond"/>
          <w:b/>
          <w:sz w:val="28"/>
          <w:szCs w:val="28"/>
        </w:rPr>
        <w:t xml:space="preserve"> KATA; GUNAKAN RATA KE KIRI; GUNAKAN HURUF TEBAL; GUNAKAN HURUF KAPITAL</w:t>
      </w:r>
      <w:r w:rsidR="000F5EBF" w:rsidRPr="0095091E">
        <w:rPr>
          <w:rFonts w:ascii="Garamond" w:eastAsia="Garamond" w:hAnsi="Garamond" w:cs="Garamond"/>
          <w:b/>
          <w:sz w:val="28"/>
          <w:szCs w:val="28"/>
        </w:rPr>
        <w:t xml:space="preserve"> </w:t>
      </w:r>
    </w:p>
    <w:p w14:paraId="4DA0B9C1" w14:textId="77777777" w:rsidR="000F5EBF" w:rsidRPr="0095091E" w:rsidRDefault="000F5EBF" w:rsidP="000F5EBF">
      <w:pPr>
        <w:spacing w:after="0" w:line="240" w:lineRule="auto"/>
        <w:rPr>
          <w:rFonts w:ascii="Garamond" w:eastAsia="Garamond" w:hAnsi="Garamond" w:cs="Garamond"/>
          <w:b/>
          <w:sz w:val="24"/>
          <w:szCs w:val="24"/>
        </w:rPr>
      </w:pPr>
    </w:p>
    <w:p w14:paraId="0E055634" w14:textId="77777777" w:rsidR="0095091E" w:rsidRPr="0095091E" w:rsidRDefault="0095091E" w:rsidP="0095091E">
      <w:pPr>
        <w:spacing w:after="0" w:line="240" w:lineRule="auto"/>
        <w:rPr>
          <w:rFonts w:ascii="Garamond" w:eastAsia="Garamond" w:hAnsi="Garamond" w:cs="Garamond"/>
          <w:b/>
          <w:sz w:val="24"/>
          <w:szCs w:val="24"/>
        </w:rPr>
      </w:pPr>
    </w:p>
    <w:p w14:paraId="0A74147E" w14:textId="0BC4C6A5" w:rsidR="0095091E" w:rsidRPr="0095091E" w:rsidRDefault="001F62E6" w:rsidP="0095091E">
      <w:pPr>
        <w:spacing w:after="0" w:line="240" w:lineRule="auto"/>
        <w:rPr>
          <w:rFonts w:ascii="Garamond" w:eastAsia="Garamond" w:hAnsi="Garamond" w:cs="Garamond"/>
          <w:b/>
          <w:bCs/>
          <w:sz w:val="24"/>
          <w:szCs w:val="24"/>
        </w:rPr>
      </w:pPr>
      <w:r>
        <w:rPr>
          <w:rFonts w:ascii="Garamond" w:eastAsia="Garamond" w:hAnsi="Garamond" w:cs="Garamond"/>
          <w:b/>
          <w:bCs/>
          <w:sz w:val="24"/>
          <w:szCs w:val="24"/>
        </w:rPr>
        <w:t>Penulis Pertama</w:t>
      </w:r>
      <w:r w:rsidR="0095091E">
        <w:rPr>
          <w:rFonts w:ascii="Garamond" w:eastAsia="Garamond" w:hAnsi="Garamond" w:cs="Garamond"/>
          <w:b/>
          <w:bCs/>
          <w:sz w:val="24"/>
          <w:szCs w:val="24"/>
        </w:rPr>
        <w:t>*</w:t>
      </w:r>
      <w:r w:rsidR="0095091E" w:rsidRPr="0095091E">
        <w:rPr>
          <w:rFonts w:ascii="Garamond" w:eastAsia="Garamond" w:hAnsi="Garamond" w:cs="Garamond"/>
          <w:b/>
          <w:bCs/>
          <w:sz w:val="24"/>
          <w:szCs w:val="24"/>
          <w:vertAlign w:val="superscript"/>
        </w:rPr>
        <w:t>1</w:t>
      </w:r>
      <w:r w:rsidR="0095091E" w:rsidRPr="0095091E">
        <w:rPr>
          <w:rFonts w:ascii="Garamond" w:eastAsia="Garamond" w:hAnsi="Garamond" w:cs="Garamond"/>
          <w:b/>
          <w:bCs/>
          <w:sz w:val="24"/>
          <w:szCs w:val="24"/>
        </w:rPr>
        <w:t xml:space="preserve">, </w:t>
      </w:r>
      <w:r>
        <w:rPr>
          <w:rFonts w:ascii="Garamond" w:eastAsia="Garamond" w:hAnsi="Garamond" w:cs="Garamond"/>
          <w:b/>
          <w:bCs/>
          <w:sz w:val="24"/>
          <w:szCs w:val="24"/>
        </w:rPr>
        <w:t>Penulis Kedua</w:t>
      </w:r>
      <w:r w:rsidR="0095091E" w:rsidRPr="0095091E">
        <w:rPr>
          <w:rFonts w:ascii="Garamond" w:eastAsia="Garamond" w:hAnsi="Garamond" w:cs="Garamond"/>
          <w:b/>
          <w:bCs/>
          <w:sz w:val="24"/>
          <w:szCs w:val="24"/>
          <w:vertAlign w:val="superscript"/>
        </w:rPr>
        <w:t>2</w:t>
      </w:r>
      <w:r w:rsidR="0095091E" w:rsidRPr="0095091E">
        <w:rPr>
          <w:rFonts w:ascii="Garamond" w:eastAsia="Garamond" w:hAnsi="Garamond" w:cs="Garamond"/>
          <w:b/>
          <w:bCs/>
          <w:sz w:val="24"/>
          <w:szCs w:val="24"/>
        </w:rPr>
        <w:t xml:space="preserve">, </w:t>
      </w:r>
      <w:r>
        <w:rPr>
          <w:rFonts w:ascii="Garamond" w:eastAsia="Garamond" w:hAnsi="Garamond" w:cs="Garamond"/>
          <w:b/>
          <w:bCs/>
          <w:sz w:val="24"/>
          <w:szCs w:val="24"/>
        </w:rPr>
        <w:t>Penulis Ketiga</w:t>
      </w:r>
      <w:r w:rsidR="0095091E" w:rsidRPr="0095091E">
        <w:rPr>
          <w:rFonts w:ascii="Garamond" w:eastAsia="Garamond" w:hAnsi="Garamond" w:cs="Garamond"/>
          <w:b/>
          <w:bCs/>
          <w:sz w:val="24"/>
          <w:szCs w:val="24"/>
          <w:vertAlign w:val="superscript"/>
        </w:rPr>
        <w:t>3</w:t>
      </w:r>
      <w:r w:rsidR="0095091E" w:rsidRPr="0095091E">
        <w:rPr>
          <w:rFonts w:ascii="Garamond" w:eastAsia="Garamond" w:hAnsi="Garamond" w:cs="Garamond"/>
          <w:b/>
          <w:bCs/>
          <w:sz w:val="24"/>
          <w:szCs w:val="24"/>
        </w:rPr>
        <w:t>,</w:t>
      </w:r>
    </w:p>
    <w:p w14:paraId="2242CE63" w14:textId="3F94E97E" w:rsidR="0095091E" w:rsidRPr="0095091E" w:rsidRDefault="001F62E6" w:rsidP="0095091E">
      <w:pPr>
        <w:spacing w:after="0" w:line="240" w:lineRule="auto"/>
        <w:rPr>
          <w:rFonts w:ascii="Garamond" w:eastAsia="Garamond" w:hAnsi="Garamond" w:cs="Garamond"/>
          <w:b/>
          <w:bCs/>
          <w:sz w:val="24"/>
          <w:szCs w:val="24"/>
        </w:rPr>
      </w:pPr>
      <w:r>
        <w:rPr>
          <w:rFonts w:ascii="Garamond" w:eastAsia="Garamond" w:hAnsi="Garamond" w:cs="Garamond"/>
          <w:b/>
          <w:bCs/>
          <w:sz w:val="24"/>
          <w:szCs w:val="24"/>
        </w:rPr>
        <w:t>Penulis Keempat</w:t>
      </w:r>
      <w:r w:rsidR="0095091E" w:rsidRPr="0095091E">
        <w:rPr>
          <w:rFonts w:ascii="Garamond" w:eastAsia="Garamond" w:hAnsi="Garamond" w:cs="Garamond"/>
          <w:b/>
          <w:bCs/>
          <w:sz w:val="24"/>
          <w:szCs w:val="24"/>
          <w:vertAlign w:val="superscript"/>
        </w:rPr>
        <w:t>4</w:t>
      </w:r>
    </w:p>
    <w:p w14:paraId="77F470AC" w14:textId="5F27FE21" w:rsidR="0095091E" w:rsidRPr="0095091E" w:rsidRDefault="001F62E6" w:rsidP="0095091E">
      <w:pPr>
        <w:spacing w:after="0" w:line="240" w:lineRule="auto"/>
        <w:rPr>
          <w:rFonts w:ascii="Garamond" w:eastAsia="Garamond" w:hAnsi="Garamond" w:cs="Garamond"/>
          <w:sz w:val="24"/>
          <w:szCs w:val="24"/>
        </w:rPr>
      </w:pPr>
      <w:r>
        <w:rPr>
          <w:rFonts w:ascii="Garamond" w:eastAsia="Garamond" w:hAnsi="Garamond" w:cs="Garamond"/>
          <w:sz w:val="24"/>
          <w:szCs w:val="24"/>
        </w:rPr>
        <w:t>Nama Afiliasi Para Penulis</w:t>
      </w:r>
      <w:r w:rsidR="0095091E" w:rsidRPr="0095091E">
        <w:rPr>
          <w:rFonts w:ascii="Garamond" w:eastAsia="Garamond" w:hAnsi="Garamond" w:cs="Garamond"/>
          <w:sz w:val="24"/>
          <w:szCs w:val="24"/>
          <w:vertAlign w:val="superscript"/>
        </w:rPr>
        <w:t>1,2,3,4</w:t>
      </w:r>
    </w:p>
    <w:p w14:paraId="478DAF21" w14:textId="6E4124AE" w:rsidR="0095091E" w:rsidRPr="0095091E" w:rsidRDefault="001F62E6" w:rsidP="0095091E">
      <w:pPr>
        <w:spacing w:after="0" w:line="240" w:lineRule="auto"/>
        <w:rPr>
          <w:rFonts w:ascii="Garamond" w:eastAsia="Garamond" w:hAnsi="Garamond" w:cs="Garamond"/>
          <w:sz w:val="24"/>
          <w:szCs w:val="24"/>
        </w:rPr>
      </w:pPr>
      <w:hyperlink r:id="rId8" w:history="1">
        <w:r w:rsidRPr="00E862E1">
          <w:rPr>
            <w:rStyle w:val="Hyperlink"/>
            <w:rFonts w:ascii="Garamond" w:eastAsia="Garamond" w:hAnsi="Garamond" w:cs="Garamond"/>
            <w:sz w:val="24"/>
            <w:szCs w:val="24"/>
          </w:rPr>
          <w:t>emailpenulis01@gmail.com</w:t>
        </w:r>
        <w:r w:rsidRPr="00E862E1">
          <w:rPr>
            <w:rStyle w:val="Hyperlink"/>
            <w:rFonts w:ascii="Garamond" w:eastAsia="Garamond" w:hAnsi="Garamond" w:cs="Garamond"/>
            <w:sz w:val="24"/>
            <w:szCs w:val="24"/>
            <w:vertAlign w:val="superscript"/>
          </w:rPr>
          <w:t>1</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9" w:history="1">
        <w:r w:rsidRPr="00E862E1">
          <w:rPr>
            <w:rStyle w:val="Hyperlink"/>
          </w:rPr>
          <w:t xml:space="preserve"> </w:t>
        </w:r>
        <w:r w:rsidRPr="00E862E1">
          <w:rPr>
            <w:rStyle w:val="Hyperlink"/>
            <w:rFonts w:ascii="Garamond" w:eastAsia="Garamond" w:hAnsi="Garamond" w:cs="Garamond"/>
            <w:sz w:val="24"/>
            <w:szCs w:val="24"/>
          </w:rPr>
          <w:t>emailpenulis02@gmail.com</w:t>
        </w:r>
        <w:r w:rsidRPr="00E862E1">
          <w:rPr>
            <w:rStyle w:val="Hyperlink"/>
            <w:rFonts w:ascii="Garamond" w:eastAsia="Garamond" w:hAnsi="Garamond" w:cs="Garamond"/>
            <w:sz w:val="24"/>
            <w:szCs w:val="24"/>
            <w:vertAlign w:val="superscript"/>
          </w:rPr>
          <w:t>2</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10" w:history="1">
        <w:r w:rsidRPr="00E862E1">
          <w:rPr>
            <w:rStyle w:val="Hyperlink"/>
          </w:rPr>
          <w:t xml:space="preserve"> </w:t>
        </w:r>
        <w:r w:rsidRPr="00E862E1">
          <w:rPr>
            <w:rStyle w:val="Hyperlink"/>
            <w:rFonts w:ascii="Garamond" w:eastAsia="Garamond" w:hAnsi="Garamond" w:cs="Garamond"/>
            <w:sz w:val="24"/>
            <w:szCs w:val="24"/>
          </w:rPr>
          <w:t>emailpenulis03@gmail.com</w:t>
        </w:r>
        <w:r w:rsidRPr="00E862E1">
          <w:rPr>
            <w:rStyle w:val="Hyperlink"/>
            <w:rFonts w:ascii="Garamond" w:eastAsia="Garamond" w:hAnsi="Garamond" w:cs="Garamond"/>
            <w:sz w:val="24"/>
            <w:szCs w:val="24"/>
            <w:vertAlign w:val="superscript"/>
          </w:rPr>
          <w:t>3</w:t>
        </w:r>
      </w:hyperlink>
      <w:r w:rsidR="0095091E" w:rsidRPr="0095091E">
        <w:rPr>
          <w:rFonts w:ascii="Garamond" w:eastAsia="Garamond" w:hAnsi="Garamond" w:cs="Garamond"/>
          <w:sz w:val="24"/>
          <w:szCs w:val="24"/>
        </w:rPr>
        <w:t>,</w:t>
      </w:r>
      <w:r w:rsidR="00286033">
        <w:rPr>
          <w:rFonts w:ascii="Garamond" w:eastAsia="Garamond" w:hAnsi="Garamond" w:cs="Garamond"/>
          <w:sz w:val="24"/>
          <w:szCs w:val="24"/>
        </w:rPr>
        <w:t xml:space="preserve"> </w:t>
      </w:r>
      <w:hyperlink r:id="rId11" w:history="1">
        <w:r w:rsidRPr="00E862E1">
          <w:rPr>
            <w:rStyle w:val="Hyperlink"/>
          </w:rPr>
          <w:t xml:space="preserve"> </w:t>
        </w:r>
        <w:r w:rsidRPr="00E862E1">
          <w:rPr>
            <w:rStyle w:val="Hyperlink"/>
            <w:rFonts w:ascii="Garamond" w:eastAsia="Garamond" w:hAnsi="Garamond" w:cs="Garamond"/>
            <w:sz w:val="24"/>
            <w:szCs w:val="24"/>
          </w:rPr>
          <w:t>emailpenulis04@gmail.com</w:t>
        </w:r>
        <w:r w:rsidRPr="00E862E1">
          <w:rPr>
            <w:rStyle w:val="Hyperlink"/>
            <w:rFonts w:ascii="Garamond" w:eastAsia="Garamond" w:hAnsi="Garamond" w:cs="Garamond"/>
            <w:sz w:val="24"/>
            <w:szCs w:val="24"/>
            <w:vertAlign w:val="superscript"/>
          </w:rPr>
          <w:t>4</w:t>
        </w:r>
      </w:hyperlink>
      <w:r w:rsidR="00286033">
        <w:rPr>
          <w:rFonts w:ascii="Garamond" w:eastAsia="Garamond" w:hAnsi="Garamond" w:cs="Garamond"/>
          <w:sz w:val="24"/>
          <w:szCs w:val="24"/>
          <w:vertAlign w:val="superscript"/>
        </w:rPr>
        <w:t xml:space="preserve"> </w:t>
      </w:r>
    </w:p>
    <w:p w14:paraId="59A5075E" w14:textId="77777777" w:rsidR="0095091E" w:rsidRPr="000F5EBF" w:rsidRDefault="0095091E" w:rsidP="000F5EBF">
      <w:pPr>
        <w:spacing w:after="0" w:line="240" w:lineRule="auto"/>
        <w:rPr>
          <w:rFonts w:ascii="Garamond" w:eastAsia="Garamond" w:hAnsi="Garamond" w:cs="Garamond"/>
        </w:rPr>
      </w:pPr>
    </w:p>
    <w:p w14:paraId="4770D262" w14:textId="6920C8F5" w:rsidR="000F5EBF" w:rsidRDefault="000F5EBF" w:rsidP="000F5EBF">
      <w:pPr>
        <w:spacing w:after="0" w:line="240" w:lineRule="auto"/>
        <w:rPr>
          <w:rFonts w:ascii="Garamond" w:eastAsia="Garamond" w:hAnsi="Garamond" w:cs="Garamond"/>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805"/>
      </w:tblGrid>
      <w:tr w:rsidR="00DC63AA" w14:paraId="1E94760C" w14:textId="77777777" w:rsidTr="0020485B">
        <w:tc>
          <w:tcPr>
            <w:tcW w:w="2689" w:type="dxa"/>
            <w:tcBorders>
              <w:bottom w:val="thinThickMediumGap" w:sz="12" w:space="0" w:color="auto"/>
            </w:tcBorders>
          </w:tcPr>
          <w:p w14:paraId="29691E50" w14:textId="687D92A0" w:rsidR="00DC63AA" w:rsidRDefault="00817398" w:rsidP="000F5EBF">
            <w:pPr>
              <w:rPr>
                <w:rFonts w:ascii="Garamond" w:eastAsia="Garamond" w:hAnsi="Garamond" w:cs="Garamond"/>
                <w:b/>
              </w:rPr>
            </w:pPr>
            <w:r w:rsidRPr="00DC63AA">
              <w:rPr>
                <w:rFonts w:ascii="Garamond" w:eastAsia="Garamond" w:hAnsi="Garamond" w:cs="Garamond"/>
                <w:b/>
              </w:rPr>
              <w:t>ARTICLE INFO</w:t>
            </w:r>
          </w:p>
        </w:tc>
        <w:tc>
          <w:tcPr>
            <w:tcW w:w="5805" w:type="dxa"/>
            <w:tcBorders>
              <w:bottom w:val="thinThickMediumGap" w:sz="12" w:space="0" w:color="auto"/>
            </w:tcBorders>
          </w:tcPr>
          <w:p w14:paraId="40BC9B09" w14:textId="031DE5FE" w:rsidR="00DC63AA" w:rsidRDefault="00817398" w:rsidP="000F5EBF">
            <w:pPr>
              <w:rPr>
                <w:rFonts w:ascii="Garamond" w:eastAsia="Garamond" w:hAnsi="Garamond" w:cs="Garamond"/>
                <w:b/>
              </w:rPr>
            </w:pPr>
            <w:r>
              <w:rPr>
                <w:rFonts w:ascii="Garamond" w:eastAsia="Garamond" w:hAnsi="Garamond" w:cs="Garamond"/>
                <w:b/>
              </w:rPr>
              <w:t>ABSTRA</w:t>
            </w:r>
            <w:r w:rsidR="00B51FD9">
              <w:rPr>
                <w:rFonts w:ascii="Garamond" w:eastAsia="Garamond" w:hAnsi="Garamond" w:cs="Garamond"/>
                <w:b/>
              </w:rPr>
              <w:t>CT</w:t>
            </w:r>
          </w:p>
        </w:tc>
      </w:tr>
      <w:tr w:rsidR="0020485B" w14:paraId="6ECF3580" w14:textId="77777777" w:rsidTr="0020485B">
        <w:tc>
          <w:tcPr>
            <w:tcW w:w="2689" w:type="dxa"/>
            <w:tcBorders>
              <w:top w:val="thinThickMediumGap" w:sz="12" w:space="0" w:color="auto"/>
              <w:bottom w:val="thinThickMediumGap" w:sz="12" w:space="0" w:color="auto"/>
            </w:tcBorders>
          </w:tcPr>
          <w:p w14:paraId="5B9D2A34" w14:textId="3768F1BF" w:rsidR="0020485B" w:rsidRDefault="0020485B" w:rsidP="000F5EBF">
            <w:pPr>
              <w:rPr>
                <w:rFonts w:ascii="Garamond" w:eastAsia="Garamond" w:hAnsi="Garamond" w:cs="Garamond"/>
                <w:b/>
              </w:rPr>
            </w:pPr>
            <w:r>
              <w:rPr>
                <w:rFonts w:ascii="Garamond" w:eastAsia="Garamond" w:hAnsi="Garamond" w:cs="Garamond"/>
                <w:b/>
              </w:rPr>
              <w:t>History</w:t>
            </w:r>
          </w:p>
          <w:p w14:paraId="408172AA" w14:textId="522B20FB" w:rsidR="0020485B" w:rsidRDefault="0020485B" w:rsidP="000F5EBF">
            <w:pPr>
              <w:rPr>
                <w:rFonts w:ascii="Garamond" w:eastAsia="Garamond" w:hAnsi="Garamond" w:cs="Garamond"/>
                <w:b/>
              </w:rPr>
            </w:pPr>
            <w:r>
              <w:rPr>
                <w:rFonts w:ascii="Garamond" w:eastAsia="Garamond" w:hAnsi="Garamond" w:cs="Garamond"/>
                <w:color w:val="000000"/>
                <w:sz w:val="20"/>
                <w:szCs w:val="20"/>
              </w:rPr>
              <w:t>Published: xx (month), xxxx (year)</w:t>
            </w:r>
          </w:p>
        </w:tc>
        <w:tc>
          <w:tcPr>
            <w:tcW w:w="5805" w:type="dxa"/>
            <w:vMerge w:val="restart"/>
            <w:tcBorders>
              <w:top w:val="thinThickMediumGap" w:sz="12" w:space="0" w:color="auto"/>
            </w:tcBorders>
          </w:tcPr>
          <w:p w14:paraId="574A3076" w14:textId="52256D99" w:rsidR="0020485B" w:rsidRDefault="0020485B" w:rsidP="00817398">
            <w:pPr>
              <w:jc w:val="both"/>
              <w:rPr>
                <w:rFonts w:ascii="Garamond" w:eastAsia="Garamond" w:hAnsi="Garamond" w:cs="Garamond"/>
              </w:rPr>
            </w:pPr>
            <w:r w:rsidRPr="00DE650A">
              <w:rPr>
                <w:rFonts w:ascii="Garamond" w:eastAsia="Garamond" w:hAnsi="Garamond" w:cs="Garamond"/>
                <w:u w:val="single"/>
              </w:rPr>
              <w:t>Indonesia</w:t>
            </w:r>
            <w:r>
              <w:rPr>
                <w:rFonts w:ascii="Garamond" w:eastAsia="Garamond" w:hAnsi="Garamond" w:cs="Garamond"/>
              </w:rPr>
              <w:t>:</w:t>
            </w:r>
          </w:p>
          <w:p w14:paraId="64D01BC1" w14:textId="34DCAE3F" w:rsidR="0020485B" w:rsidRDefault="00DE650A" w:rsidP="00DE650A">
            <w:pPr>
              <w:jc w:val="both"/>
              <w:rPr>
                <w:rFonts w:ascii="Garamond" w:eastAsia="Garamond" w:hAnsi="Garamond" w:cs="Garamond"/>
              </w:rPr>
            </w:pPr>
            <w:r w:rsidRPr="00DE650A">
              <w:rPr>
                <w:rFonts w:ascii="Garamond" w:eastAsia="Garamond" w:hAnsi="Garamond" w:cs="Garamond"/>
              </w:rPr>
              <w:t xml:space="preserve">Abstrak harus ditulis dalam bahasa </w:t>
            </w:r>
            <w:r>
              <w:rPr>
                <w:rFonts w:ascii="Garamond" w:eastAsia="Garamond" w:hAnsi="Garamond" w:cs="Garamond"/>
              </w:rPr>
              <w:t xml:space="preserve">Indonesia dan </w:t>
            </w:r>
            <w:r w:rsidRPr="00DE650A">
              <w:rPr>
                <w:rFonts w:ascii="Garamond" w:eastAsia="Garamond" w:hAnsi="Garamond" w:cs="Garamond"/>
              </w:rPr>
              <w:t xml:space="preserve">Inggris menggunakan font </w:t>
            </w:r>
            <w:r w:rsidRPr="00DE650A">
              <w:rPr>
                <w:rFonts w:ascii="Garamond" w:eastAsia="Garamond" w:hAnsi="Garamond" w:cs="Garamond"/>
                <w:b/>
                <w:bCs/>
              </w:rPr>
              <w:t>Garamond</w:t>
            </w:r>
            <w:r w:rsidRPr="00DE650A">
              <w:rPr>
                <w:rFonts w:ascii="Garamond" w:eastAsia="Garamond" w:hAnsi="Garamond" w:cs="Garamond"/>
              </w:rPr>
              <w:t xml:space="preserve"> berukuran </w:t>
            </w:r>
            <w:r w:rsidRPr="00DE650A">
              <w:rPr>
                <w:rFonts w:ascii="Garamond" w:eastAsia="Garamond" w:hAnsi="Garamond" w:cs="Garamond"/>
                <w:b/>
                <w:bCs/>
              </w:rPr>
              <w:t>11 pt</w:t>
            </w:r>
            <w:r w:rsidRPr="00DE650A">
              <w:rPr>
                <w:rFonts w:ascii="Garamond" w:eastAsia="Garamond" w:hAnsi="Garamond" w:cs="Garamond"/>
              </w:rPr>
              <w:t xml:space="preserve"> dengan format </w:t>
            </w:r>
            <w:r w:rsidRPr="00DE650A">
              <w:rPr>
                <w:rFonts w:ascii="Garamond" w:eastAsia="Garamond" w:hAnsi="Garamond" w:cs="Garamond"/>
                <w:b/>
                <w:bCs/>
              </w:rPr>
              <w:t>rata kanan-kiri (justify)</w:t>
            </w:r>
            <w:r w:rsidRPr="00DE650A">
              <w:rPr>
                <w:rFonts w:ascii="Garamond" w:eastAsia="Garamond" w:hAnsi="Garamond" w:cs="Garamond"/>
              </w:rPr>
              <w:t xml:space="preserve"> dan </w:t>
            </w:r>
            <w:r w:rsidRPr="00DE650A">
              <w:rPr>
                <w:rFonts w:ascii="Garamond" w:eastAsia="Garamond" w:hAnsi="Garamond" w:cs="Garamond"/>
                <w:b/>
                <w:bCs/>
              </w:rPr>
              <w:t>spasi tunggal</w:t>
            </w:r>
            <w:r w:rsidRPr="00DE650A">
              <w:rPr>
                <w:rFonts w:ascii="Garamond" w:eastAsia="Garamond" w:hAnsi="Garamond" w:cs="Garamond"/>
              </w:rPr>
              <w:t xml:space="preserve">. Keseluruhan isi abstrak dibatasi maksimal </w:t>
            </w:r>
            <w:r w:rsidRPr="00DE650A">
              <w:rPr>
                <w:rFonts w:ascii="Garamond" w:eastAsia="Garamond" w:hAnsi="Garamond" w:cs="Garamond"/>
                <w:b/>
                <w:bCs/>
              </w:rPr>
              <w:t>150 kata</w:t>
            </w:r>
            <w:r w:rsidRPr="00DE650A">
              <w:rPr>
                <w:rFonts w:ascii="Garamond" w:eastAsia="Garamond" w:hAnsi="Garamond" w:cs="Garamond"/>
              </w:rPr>
              <w:t xml:space="preserve"> dan harus disusun secara sistematis mulai dari pemaparan </w:t>
            </w:r>
            <w:r w:rsidRPr="00DE650A">
              <w:rPr>
                <w:rFonts w:ascii="Garamond" w:eastAsia="Garamond" w:hAnsi="Garamond" w:cs="Garamond"/>
                <w:b/>
                <w:bCs/>
              </w:rPr>
              <w:t>masalah</w:t>
            </w:r>
            <w:r w:rsidRPr="00DE650A">
              <w:rPr>
                <w:rFonts w:ascii="Garamond" w:eastAsia="Garamond" w:hAnsi="Garamond" w:cs="Garamond"/>
              </w:rPr>
              <w:t xml:space="preserve"> yang diangkat serta </w:t>
            </w:r>
            <w:r w:rsidRPr="00DE650A">
              <w:rPr>
                <w:rFonts w:ascii="Garamond" w:eastAsia="Garamond" w:hAnsi="Garamond" w:cs="Garamond"/>
                <w:b/>
                <w:bCs/>
              </w:rPr>
              <w:t>tujuan penelitian</w:t>
            </w:r>
            <w:r w:rsidRPr="00DE650A">
              <w:rPr>
                <w:rFonts w:ascii="Garamond" w:eastAsia="Garamond" w:hAnsi="Garamond" w:cs="Garamond"/>
              </w:rPr>
              <w:t xml:space="preserve"> yang ingin dicapai. Selanjutnya, jelaskan </w:t>
            </w:r>
            <w:r w:rsidRPr="00DE650A">
              <w:rPr>
                <w:rFonts w:ascii="Garamond" w:eastAsia="Garamond" w:hAnsi="Garamond" w:cs="Garamond"/>
                <w:b/>
                <w:bCs/>
              </w:rPr>
              <w:t>metode</w:t>
            </w:r>
            <w:r w:rsidRPr="00DE650A">
              <w:rPr>
                <w:rFonts w:ascii="Garamond" w:eastAsia="Garamond" w:hAnsi="Garamond" w:cs="Garamond"/>
              </w:rPr>
              <w:t xml:space="preserve"> yang digunakan dalam pengumpulan data, diikuti dengan penyajian </w:t>
            </w:r>
            <w:r w:rsidRPr="00DE650A">
              <w:rPr>
                <w:rFonts w:ascii="Garamond" w:eastAsia="Garamond" w:hAnsi="Garamond" w:cs="Garamond"/>
                <w:b/>
                <w:bCs/>
              </w:rPr>
              <w:t>hasil penelitian</w:t>
            </w:r>
            <w:r w:rsidRPr="00DE650A">
              <w:rPr>
                <w:rFonts w:ascii="Garamond" w:eastAsia="Garamond" w:hAnsi="Garamond" w:cs="Garamond"/>
              </w:rPr>
              <w:t xml:space="preserve"> yang menjawab pertanyaan penelitian berdasarkan data tersebut. Sebagai penutup, sertakan ulasan mengenai </w:t>
            </w:r>
            <w:r w:rsidRPr="00DE650A">
              <w:rPr>
                <w:rFonts w:ascii="Garamond" w:eastAsia="Garamond" w:hAnsi="Garamond" w:cs="Garamond"/>
                <w:b/>
                <w:bCs/>
              </w:rPr>
              <w:t>dampak</w:t>
            </w:r>
            <w:r w:rsidRPr="00DE650A">
              <w:rPr>
                <w:rFonts w:ascii="Garamond" w:eastAsia="Garamond" w:hAnsi="Garamond" w:cs="Garamond"/>
              </w:rPr>
              <w:t xml:space="preserve"> dari temuan tersebut serta </w:t>
            </w:r>
            <w:r w:rsidRPr="00DE650A">
              <w:rPr>
                <w:rFonts w:ascii="Garamond" w:eastAsia="Garamond" w:hAnsi="Garamond" w:cs="Garamond"/>
                <w:b/>
                <w:bCs/>
              </w:rPr>
              <w:t>kesimpulan</w:t>
            </w:r>
            <w:r w:rsidRPr="00DE650A">
              <w:rPr>
                <w:rFonts w:ascii="Garamond" w:eastAsia="Garamond" w:hAnsi="Garamond" w:cs="Garamond"/>
              </w:rPr>
              <w:t xml:space="preserve"> yang merangkum seluruh hasil penelitian secara ringkas.</w:t>
            </w:r>
          </w:p>
          <w:p w14:paraId="689329AB" w14:textId="2CB96FB6" w:rsidR="00DE650A" w:rsidRDefault="00DE650A" w:rsidP="00DE650A">
            <w:pPr>
              <w:jc w:val="both"/>
              <w:rPr>
                <w:rFonts w:ascii="Garamond" w:eastAsia="Garamond" w:hAnsi="Garamond" w:cs="Garamond"/>
                <w:b/>
              </w:rPr>
            </w:pPr>
          </w:p>
          <w:p w14:paraId="1EC59B66" w14:textId="309AAAB1" w:rsidR="0020485B" w:rsidRDefault="0020485B" w:rsidP="00817398">
            <w:pPr>
              <w:jc w:val="both"/>
              <w:rPr>
                <w:rFonts w:ascii="Garamond" w:eastAsia="Garamond" w:hAnsi="Garamond" w:cs="Garamond"/>
              </w:rPr>
            </w:pPr>
            <w:r w:rsidRPr="00DE650A">
              <w:rPr>
                <w:rFonts w:ascii="Garamond" w:eastAsia="Garamond" w:hAnsi="Garamond" w:cs="Garamond"/>
                <w:u w:val="single"/>
              </w:rPr>
              <w:t>English</w:t>
            </w:r>
            <w:r>
              <w:rPr>
                <w:rFonts w:ascii="Garamond" w:eastAsia="Garamond" w:hAnsi="Garamond" w:cs="Garamond"/>
              </w:rPr>
              <w:t>:</w:t>
            </w:r>
          </w:p>
          <w:p w14:paraId="7C71EDD7" w14:textId="7AC7622A" w:rsidR="00DE650A" w:rsidRDefault="00DE650A" w:rsidP="00DE650A">
            <w:pPr>
              <w:jc w:val="both"/>
              <w:rPr>
                <w:rFonts w:ascii="Garamond" w:eastAsia="Garamond" w:hAnsi="Garamond" w:cs="Garamond"/>
                <w:i/>
                <w:iCs/>
              </w:rPr>
            </w:pPr>
            <w:r w:rsidRPr="00DE650A">
              <w:rPr>
                <w:rFonts w:ascii="Garamond" w:eastAsia="Garamond" w:hAnsi="Garamond" w:cs="Garamond"/>
                <w:i/>
                <w:iCs/>
              </w:rPr>
              <w:t xml:space="preserve">Abstracts must be written in Indonesian and English using </w:t>
            </w:r>
            <w:r w:rsidRPr="00DE650A">
              <w:rPr>
                <w:rFonts w:ascii="Garamond" w:eastAsia="Garamond" w:hAnsi="Garamond" w:cs="Garamond"/>
                <w:b/>
                <w:bCs/>
                <w:i/>
                <w:iCs/>
              </w:rPr>
              <w:t>11-point</w:t>
            </w:r>
            <w:r w:rsidRPr="00DE650A">
              <w:rPr>
                <w:rFonts w:ascii="Garamond" w:eastAsia="Garamond" w:hAnsi="Garamond" w:cs="Garamond"/>
                <w:i/>
                <w:iCs/>
              </w:rPr>
              <w:t xml:space="preserve"> </w:t>
            </w:r>
            <w:r w:rsidRPr="00DE650A">
              <w:rPr>
                <w:rFonts w:ascii="Garamond" w:eastAsia="Garamond" w:hAnsi="Garamond" w:cs="Garamond"/>
                <w:b/>
                <w:bCs/>
                <w:i/>
                <w:iCs/>
              </w:rPr>
              <w:t>Garamond</w:t>
            </w:r>
            <w:r w:rsidRPr="00DE650A">
              <w:rPr>
                <w:rFonts w:ascii="Garamond" w:eastAsia="Garamond" w:hAnsi="Garamond" w:cs="Garamond"/>
                <w:i/>
                <w:iCs/>
              </w:rPr>
              <w:t xml:space="preserve"> font, </w:t>
            </w:r>
            <w:r w:rsidRPr="00DE650A">
              <w:rPr>
                <w:rFonts w:ascii="Garamond" w:eastAsia="Garamond" w:hAnsi="Garamond" w:cs="Garamond"/>
                <w:b/>
                <w:bCs/>
                <w:i/>
                <w:iCs/>
              </w:rPr>
              <w:t>justified</w:t>
            </w:r>
            <w:r w:rsidRPr="00DE650A">
              <w:rPr>
                <w:rFonts w:ascii="Garamond" w:eastAsia="Garamond" w:hAnsi="Garamond" w:cs="Garamond"/>
                <w:i/>
                <w:iCs/>
              </w:rPr>
              <w:t xml:space="preserve">, and </w:t>
            </w:r>
            <w:r w:rsidRPr="00DE650A">
              <w:rPr>
                <w:rFonts w:ascii="Garamond" w:eastAsia="Garamond" w:hAnsi="Garamond" w:cs="Garamond"/>
                <w:b/>
                <w:bCs/>
                <w:i/>
                <w:iCs/>
              </w:rPr>
              <w:t>single-spaced</w:t>
            </w:r>
            <w:r w:rsidRPr="00DE650A">
              <w:rPr>
                <w:rFonts w:ascii="Garamond" w:eastAsia="Garamond" w:hAnsi="Garamond" w:cs="Garamond"/>
                <w:i/>
                <w:iCs/>
              </w:rPr>
              <w:t xml:space="preserve">. The entire abstract should be limited to a maximum of </w:t>
            </w:r>
            <w:r w:rsidRPr="00DE650A">
              <w:rPr>
                <w:rFonts w:ascii="Garamond" w:eastAsia="Garamond" w:hAnsi="Garamond" w:cs="Garamond"/>
                <w:b/>
                <w:bCs/>
                <w:i/>
                <w:iCs/>
              </w:rPr>
              <w:t>150 words</w:t>
            </w:r>
            <w:r w:rsidRPr="00DE650A">
              <w:rPr>
                <w:rFonts w:ascii="Garamond" w:eastAsia="Garamond" w:hAnsi="Garamond" w:cs="Garamond"/>
                <w:i/>
                <w:iCs/>
              </w:rPr>
              <w:t xml:space="preserve"> and should be structured systematically, beginning with a presentation of the </w:t>
            </w:r>
            <w:r w:rsidRPr="00DE650A">
              <w:rPr>
                <w:rFonts w:ascii="Garamond" w:eastAsia="Garamond" w:hAnsi="Garamond" w:cs="Garamond"/>
                <w:b/>
                <w:bCs/>
                <w:i/>
                <w:iCs/>
              </w:rPr>
              <w:t>problem</w:t>
            </w:r>
            <w:r w:rsidRPr="00DE650A">
              <w:rPr>
                <w:rFonts w:ascii="Garamond" w:eastAsia="Garamond" w:hAnsi="Garamond" w:cs="Garamond"/>
                <w:i/>
                <w:iCs/>
              </w:rPr>
              <w:t xml:space="preserve"> and the </w:t>
            </w:r>
            <w:r w:rsidRPr="00DE650A">
              <w:rPr>
                <w:rFonts w:ascii="Garamond" w:eastAsia="Garamond" w:hAnsi="Garamond" w:cs="Garamond"/>
                <w:b/>
                <w:bCs/>
                <w:i/>
                <w:iCs/>
              </w:rPr>
              <w:t>research objectives</w:t>
            </w:r>
            <w:r w:rsidRPr="00DE650A">
              <w:rPr>
                <w:rFonts w:ascii="Garamond" w:eastAsia="Garamond" w:hAnsi="Garamond" w:cs="Garamond"/>
                <w:i/>
                <w:iCs/>
              </w:rPr>
              <w:t xml:space="preserve">. Next, explain the </w:t>
            </w:r>
            <w:r w:rsidRPr="00DE650A">
              <w:rPr>
                <w:rFonts w:ascii="Garamond" w:eastAsia="Garamond" w:hAnsi="Garamond" w:cs="Garamond"/>
                <w:b/>
                <w:bCs/>
                <w:i/>
                <w:iCs/>
              </w:rPr>
              <w:t>methods</w:t>
            </w:r>
            <w:r w:rsidRPr="00DE650A">
              <w:rPr>
                <w:rFonts w:ascii="Garamond" w:eastAsia="Garamond" w:hAnsi="Garamond" w:cs="Garamond"/>
                <w:i/>
                <w:iCs/>
              </w:rPr>
              <w:t xml:space="preserve"> used in data collection, followed by a presentation of the </w:t>
            </w:r>
            <w:r w:rsidRPr="00DE650A">
              <w:rPr>
                <w:rFonts w:ascii="Garamond" w:eastAsia="Garamond" w:hAnsi="Garamond" w:cs="Garamond"/>
                <w:b/>
                <w:bCs/>
                <w:i/>
                <w:iCs/>
              </w:rPr>
              <w:t>research results</w:t>
            </w:r>
            <w:r w:rsidRPr="00DE650A">
              <w:rPr>
                <w:rFonts w:ascii="Garamond" w:eastAsia="Garamond" w:hAnsi="Garamond" w:cs="Garamond"/>
                <w:i/>
                <w:iCs/>
              </w:rPr>
              <w:t xml:space="preserve"> that answer the research questions based on the data. Finally, include a review of the impact of the findings and a </w:t>
            </w:r>
            <w:r w:rsidRPr="00DE650A">
              <w:rPr>
                <w:rFonts w:ascii="Garamond" w:eastAsia="Garamond" w:hAnsi="Garamond" w:cs="Garamond"/>
                <w:b/>
                <w:bCs/>
                <w:i/>
                <w:iCs/>
              </w:rPr>
              <w:t>conclusion</w:t>
            </w:r>
            <w:r w:rsidRPr="00DE650A">
              <w:rPr>
                <w:rFonts w:ascii="Garamond" w:eastAsia="Garamond" w:hAnsi="Garamond" w:cs="Garamond"/>
                <w:i/>
                <w:iCs/>
              </w:rPr>
              <w:t xml:space="preserve"> that summarizes all research findings.</w:t>
            </w:r>
          </w:p>
          <w:p w14:paraId="4118C876" w14:textId="22B320B8" w:rsidR="00DE650A" w:rsidRPr="00DE650A" w:rsidRDefault="00DE650A" w:rsidP="00DE650A">
            <w:pPr>
              <w:jc w:val="both"/>
              <w:rPr>
                <w:rFonts w:ascii="Garamond" w:eastAsia="Garamond" w:hAnsi="Garamond" w:cs="Garamond"/>
                <w:i/>
                <w:iCs/>
              </w:rPr>
            </w:pPr>
          </w:p>
        </w:tc>
      </w:tr>
      <w:tr w:rsidR="0020485B" w14:paraId="6F24718D" w14:textId="77777777" w:rsidTr="0020485B">
        <w:tc>
          <w:tcPr>
            <w:tcW w:w="2689" w:type="dxa"/>
            <w:tcBorders>
              <w:top w:val="thinThickMediumGap" w:sz="12" w:space="0" w:color="auto"/>
              <w:bottom w:val="thinThickMediumGap" w:sz="12" w:space="0" w:color="auto"/>
            </w:tcBorders>
          </w:tcPr>
          <w:p w14:paraId="3E948A95" w14:textId="779757F7" w:rsidR="0020485B" w:rsidRDefault="0020485B" w:rsidP="000F5EBF">
            <w:pPr>
              <w:rPr>
                <w:rFonts w:ascii="Garamond" w:eastAsia="Garamond" w:hAnsi="Garamond" w:cs="Garamond"/>
                <w:b/>
              </w:rPr>
            </w:pPr>
            <w:r>
              <w:rPr>
                <w:rFonts w:ascii="Garamond" w:eastAsia="Garamond" w:hAnsi="Garamond" w:cs="Garamond"/>
                <w:b/>
              </w:rPr>
              <w:t xml:space="preserve">Keywords: </w:t>
            </w:r>
            <w:r>
              <w:rPr>
                <w:rFonts w:ascii="Garamond" w:eastAsia="Garamond" w:hAnsi="Garamond" w:cs="Garamond"/>
              </w:rPr>
              <w:t>use Garamond 11, write 3-5 words concepts are</w:t>
            </w:r>
            <w:r w:rsidR="00286033">
              <w:rPr>
                <w:rFonts w:ascii="Garamond" w:eastAsia="Garamond" w:hAnsi="Garamond" w:cs="Garamond"/>
              </w:rPr>
              <w:t xml:space="preserve"> </w:t>
            </w:r>
            <w:r>
              <w:rPr>
                <w:rFonts w:ascii="Garamond" w:eastAsia="Garamond" w:hAnsi="Garamond" w:cs="Garamond"/>
              </w:rPr>
              <w:t>core/essential/fundamental from the article, arranged alphabetically</w:t>
            </w:r>
          </w:p>
        </w:tc>
        <w:tc>
          <w:tcPr>
            <w:tcW w:w="5805" w:type="dxa"/>
            <w:vMerge/>
          </w:tcPr>
          <w:p w14:paraId="63953BCF" w14:textId="77777777" w:rsidR="0020485B" w:rsidRDefault="0020485B" w:rsidP="000F5EBF">
            <w:pPr>
              <w:rPr>
                <w:rFonts w:ascii="Garamond" w:eastAsia="Garamond" w:hAnsi="Garamond" w:cs="Garamond"/>
                <w:b/>
              </w:rPr>
            </w:pPr>
          </w:p>
        </w:tc>
      </w:tr>
      <w:tr w:rsidR="0020485B" w14:paraId="4BBAF537" w14:textId="77777777" w:rsidTr="0020485B">
        <w:tc>
          <w:tcPr>
            <w:tcW w:w="2689" w:type="dxa"/>
            <w:tcBorders>
              <w:top w:val="thinThickMediumGap" w:sz="12" w:space="0" w:color="auto"/>
              <w:bottom w:val="single" w:sz="12" w:space="0" w:color="auto"/>
            </w:tcBorders>
          </w:tcPr>
          <w:p w14:paraId="13987112" w14:textId="77777777" w:rsidR="0020485B" w:rsidRDefault="0020485B" w:rsidP="000F5EBF">
            <w:pPr>
              <w:rPr>
                <w:rFonts w:ascii="Garamond" w:eastAsia="Garamond" w:hAnsi="Garamond" w:cs="Garamond"/>
                <w:b/>
              </w:rPr>
            </w:pPr>
          </w:p>
          <w:p w14:paraId="11F7F181" w14:textId="77777777" w:rsidR="0020485B" w:rsidRDefault="0020485B" w:rsidP="0020485B">
            <w:pPr>
              <w:jc w:val="both"/>
              <w:rPr>
                <w:rFonts w:asciiTheme="majorBidi" w:hAnsiTheme="majorBidi" w:cstheme="majorBidi"/>
                <w:iCs/>
                <w:sz w:val="20"/>
                <w:szCs w:val="20"/>
              </w:rPr>
            </w:pPr>
            <w:bookmarkStart w:id="0" w:name="_Hlk162200442"/>
            <w:bookmarkStart w:id="1" w:name="_Hlk167374519"/>
            <w:bookmarkStart w:id="2" w:name="_Hlk173780483"/>
            <w:r w:rsidRPr="008A26EC">
              <w:rPr>
                <w:rFonts w:asciiTheme="majorBidi" w:hAnsiTheme="majorBidi" w:cstheme="majorBidi"/>
                <w:noProof/>
                <w:sz w:val="20"/>
                <w:szCs w:val="20"/>
              </w:rPr>
              <w:drawing>
                <wp:inline distT="0" distB="0" distL="0" distR="0" wp14:anchorId="014A55A7" wp14:editId="5984F8D2">
                  <wp:extent cx="749300" cy="266700"/>
                  <wp:effectExtent l="0" t="0" r="0" b="0"/>
                  <wp:docPr id="48692436" name="Picture 48692436" descr="A grey and black sign with a person in a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y and black sign with a person in a circle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300" cy="266700"/>
                          </a:xfrm>
                          <a:prstGeom prst="rect">
                            <a:avLst/>
                          </a:prstGeom>
                          <a:noFill/>
                          <a:ln>
                            <a:noFill/>
                          </a:ln>
                        </pic:spPr>
                      </pic:pic>
                    </a:graphicData>
                  </a:graphic>
                </wp:inline>
              </w:drawing>
            </w:r>
          </w:p>
          <w:p w14:paraId="3E611464" w14:textId="77777777" w:rsidR="0020485B" w:rsidRDefault="0020485B" w:rsidP="0020485B">
            <w:pPr>
              <w:jc w:val="both"/>
              <w:rPr>
                <w:rFonts w:asciiTheme="majorBidi" w:hAnsiTheme="majorBidi" w:cstheme="majorBidi"/>
                <w:iCs/>
                <w:sz w:val="20"/>
                <w:szCs w:val="20"/>
              </w:rPr>
            </w:pPr>
          </w:p>
          <w:p w14:paraId="5E082D4C" w14:textId="5634F7A0" w:rsidR="0020485B" w:rsidRPr="0020485B" w:rsidRDefault="0020485B" w:rsidP="0020485B">
            <w:pPr>
              <w:jc w:val="both"/>
              <w:rPr>
                <w:rFonts w:ascii="Garamond" w:hAnsi="Garamond" w:cstheme="majorBidi"/>
                <w:b/>
                <w:bCs/>
                <w:iCs/>
                <w:sz w:val="18"/>
                <w:szCs w:val="18"/>
              </w:rPr>
            </w:pPr>
            <w:r w:rsidRPr="0020485B">
              <w:rPr>
                <w:rFonts w:ascii="Garamond" w:hAnsi="Garamond" w:cstheme="majorBidi"/>
                <w:b/>
                <w:bCs/>
                <w:iCs/>
                <w:sz w:val="18"/>
                <w:szCs w:val="18"/>
              </w:rPr>
              <w:t>© Author(s) 2026</w:t>
            </w:r>
          </w:p>
          <w:p w14:paraId="34AB5ABD" w14:textId="77777777" w:rsidR="0020485B" w:rsidRDefault="0020485B" w:rsidP="0020485B">
            <w:pPr>
              <w:rPr>
                <w:rFonts w:ascii="Garamond" w:eastAsia="Times New Roman" w:hAnsi="Garamond" w:cstheme="majorBidi"/>
                <w:sz w:val="18"/>
                <w:szCs w:val="18"/>
                <w:u w:val="single"/>
                <w:shd w:val="clear" w:color="auto" w:fill="FFFFFF"/>
                <w:lang w:val="en-US"/>
              </w:rPr>
            </w:pPr>
            <w:r w:rsidRPr="0020485B">
              <w:rPr>
                <w:rFonts w:ascii="Garamond" w:eastAsia="Times New Roman" w:hAnsi="Garamond" w:cstheme="majorBidi"/>
                <w:sz w:val="18"/>
                <w:szCs w:val="18"/>
                <w:shd w:val="clear" w:color="auto" w:fill="FFFFFF"/>
                <w:lang w:val="en-US"/>
              </w:rPr>
              <w:t>This work is licensed under a </w:t>
            </w:r>
            <w:hyperlink r:id="rId13" w:history="1">
              <w:r w:rsidRPr="0020485B">
                <w:rPr>
                  <w:rFonts w:ascii="Garamond" w:eastAsia="Times New Roman" w:hAnsi="Garamond" w:cstheme="majorBidi"/>
                  <w:sz w:val="18"/>
                  <w:szCs w:val="18"/>
                  <w:u w:val="single"/>
                  <w:shd w:val="clear" w:color="auto" w:fill="FFFFFF"/>
                  <w:lang w:val="en-US"/>
                </w:rPr>
                <w:t>Creative Commons Attribution 4.0 International License</w:t>
              </w:r>
            </w:hyperlink>
            <w:r w:rsidRPr="0020485B">
              <w:rPr>
                <w:rFonts w:ascii="Garamond" w:eastAsia="Times New Roman" w:hAnsi="Garamond" w:cstheme="majorBidi"/>
                <w:sz w:val="18"/>
                <w:szCs w:val="18"/>
                <w:u w:val="single"/>
                <w:shd w:val="clear" w:color="auto" w:fill="FFFFFF"/>
                <w:lang w:val="en-US"/>
              </w:rPr>
              <w:t>.</w:t>
            </w:r>
            <w:bookmarkEnd w:id="0"/>
            <w:bookmarkEnd w:id="1"/>
            <w:bookmarkEnd w:id="2"/>
          </w:p>
          <w:p w14:paraId="51507C08" w14:textId="4B636BC9" w:rsidR="0020485B" w:rsidRPr="0020485B" w:rsidRDefault="0020485B" w:rsidP="0020485B">
            <w:pPr>
              <w:rPr>
                <w:rFonts w:ascii="Garamond" w:eastAsia="Times New Roman" w:hAnsi="Garamond" w:cstheme="majorBidi"/>
                <w:sz w:val="18"/>
                <w:szCs w:val="18"/>
                <w:u w:val="single"/>
                <w:shd w:val="clear" w:color="auto" w:fill="FFFFFF"/>
                <w:lang w:val="en-US"/>
              </w:rPr>
            </w:pPr>
          </w:p>
        </w:tc>
        <w:tc>
          <w:tcPr>
            <w:tcW w:w="5805" w:type="dxa"/>
            <w:vMerge/>
          </w:tcPr>
          <w:p w14:paraId="17B311B4" w14:textId="77777777" w:rsidR="0020485B" w:rsidRDefault="0020485B" w:rsidP="000F5EBF">
            <w:pPr>
              <w:rPr>
                <w:rFonts w:ascii="Garamond" w:eastAsia="Garamond" w:hAnsi="Garamond" w:cs="Garamond"/>
                <w:b/>
              </w:rPr>
            </w:pPr>
          </w:p>
        </w:tc>
      </w:tr>
      <w:tr w:rsidR="0020485B" w14:paraId="752FD61A" w14:textId="77777777" w:rsidTr="0020485B">
        <w:tc>
          <w:tcPr>
            <w:tcW w:w="2689" w:type="dxa"/>
            <w:tcBorders>
              <w:top w:val="single" w:sz="12" w:space="0" w:color="auto"/>
              <w:bottom w:val="nil"/>
            </w:tcBorders>
          </w:tcPr>
          <w:p w14:paraId="37A58871" w14:textId="179592B9" w:rsidR="0020485B" w:rsidRDefault="0020485B" w:rsidP="0020485B">
            <w:pPr>
              <w:jc w:val="center"/>
              <w:rPr>
                <w:rFonts w:ascii="Garamond" w:eastAsia="Garamond" w:hAnsi="Garamond" w:cs="Garamond"/>
                <w:b/>
              </w:rPr>
            </w:pPr>
          </w:p>
          <w:p w14:paraId="2225FA0B" w14:textId="691C8F41" w:rsidR="0020485B" w:rsidRDefault="00F61EEC" w:rsidP="0020485B">
            <w:pPr>
              <w:jc w:val="center"/>
              <w:rPr>
                <w:rFonts w:ascii="Garamond" w:eastAsia="Garamond" w:hAnsi="Garamond" w:cs="Garamond"/>
                <w:b/>
              </w:rPr>
            </w:pPr>
            <w:r>
              <w:rPr>
                <w:rFonts w:ascii="Garamond" w:eastAsia="Garamond" w:hAnsi="Garamond" w:cs="Garamond"/>
                <w:b/>
                <w:noProof/>
              </w:rPr>
              <w:drawing>
                <wp:inline distT="0" distB="0" distL="0" distR="0" wp14:anchorId="1E21E2B7" wp14:editId="602A8032">
                  <wp:extent cx="724278" cy="724278"/>
                  <wp:effectExtent l="0" t="0" r="0" b="0"/>
                  <wp:docPr id="1326048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278" cy="724278"/>
                          </a:xfrm>
                          <a:prstGeom prst="rect">
                            <a:avLst/>
                          </a:prstGeom>
                          <a:noFill/>
                          <a:ln>
                            <a:noFill/>
                          </a:ln>
                        </pic:spPr>
                      </pic:pic>
                    </a:graphicData>
                  </a:graphic>
                </wp:inline>
              </w:drawing>
            </w:r>
          </w:p>
        </w:tc>
        <w:tc>
          <w:tcPr>
            <w:tcW w:w="5805" w:type="dxa"/>
            <w:vMerge/>
            <w:tcBorders>
              <w:bottom w:val="single" w:sz="12" w:space="0" w:color="auto"/>
            </w:tcBorders>
          </w:tcPr>
          <w:p w14:paraId="25F64E8A" w14:textId="77777777" w:rsidR="0020485B" w:rsidRDefault="0020485B" w:rsidP="000F5EBF">
            <w:pPr>
              <w:rPr>
                <w:rFonts w:ascii="Garamond" w:eastAsia="Garamond" w:hAnsi="Garamond" w:cs="Garamond"/>
                <w:b/>
              </w:rPr>
            </w:pPr>
          </w:p>
        </w:tc>
      </w:tr>
    </w:tbl>
    <w:p w14:paraId="1AB76BDD" w14:textId="09FFEA83" w:rsidR="000F5EBF" w:rsidRDefault="000F5EBF" w:rsidP="000F5EBF">
      <w:pPr>
        <w:spacing w:after="0" w:line="240" w:lineRule="auto"/>
        <w:rPr>
          <w:rFonts w:ascii="Garamond" w:eastAsia="Garamond" w:hAnsi="Garamond" w:cs="Garamond"/>
          <w:b/>
        </w:rPr>
      </w:pPr>
    </w:p>
    <w:p w14:paraId="440EE6AA" w14:textId="77777777" w:rsidR="0095091E" w:rsidRDefault="0095091E" w:rsidP="0095091E">
      <w:pPr>
        <w:spacing w:after="0" w:line="240" w:lineRule="auto"/>
        <w:rPr>
          <w:rFonts w:ascii="Garamond" w:eastAsia="Garamond" w:hAnsi="Garamond" w:cs="Garamond"/>
          <w:b/>
        </w:rPr>
      </w:pPr>
    </w:p>
    <w:p w14:paraId="0DAE8CA1" w14:textId="77777777" w:rsidR="00286033" w:rsidRDefault="00286033" w:rsidP="0095091E">
      <w:pPr>
        <w:spacing w:after="0" w:line="240" w:lineRule="auto"/>
        <w:rPr>
          <w:rFonts w:ascii="Garamond" w:eastAsia="Garamond" w:hAnsi="Garamond" w:cs="Garamond"/>
          <w:b/>
        </w:rPr>
      </w:pPr>
    </w:p>
    <w:p w14:paraId="792F1753" w14:textId="1C973E00" w:rsidR="0095091E" w:rsidRDefault="0095091E" w:rsidP="001F62E6">
      <w:pPr>
        <w:spacing w:after="0" w:line="240" w:lineRule="auto"/>
        <w:rPr>
          <w:rFonts w:ascii="Garamond" w:eastAsia="Garamond" w:hAnsi="Garamond" w:cs="Garamond"/>
          <w:bCs/>
        </w:rPr>
      </w:pPr>
      <w:r>
        <w:rPr>
          <w:rFonts w:ascii="Garamond" w:eastAsia="Garamond" w:hAnsi="Garamond" w:cs="Garamond"/>
          <w:b/>
        </w:rPr>
        <w:t>*</w:t>
      </w:r>
      <w:r w:rsidRPr="0095091E">
        <w:rPr>
          <w:rFonts w:ascii="Garamond" w:eastAsia="Garamond" w:hAnsi="Garamond" w:cs="Garamond"/>
          <w:b/>
        </w:rPr>
        <w:t xml:space="preserve">Corresponding Author: </w:t>
      </w:r>
      <w:r w:rsidR="001F62E6">
        <w:rPr>
          <w:rFonts w:ascii="Garamond" w:eastAsia="Garamond" w:hAnsi="Garamond" w:cs="Garamond"/>
          <w:b/>
        </w:rPr>
        <w:t>Penulis Pertama</w:t>
      </w:r>
      <w:r w:rsidRPr="0095091E">
        <w:rPr>
          <w:rFonts w:ascii="Garamond" w:eastAsia="Garamond" w:hAnsi="Garamond" w:cs="Garamond"/>
          <w:b/>
        </w:rPr>
        <w:t xml:space="preserve"> </w:t>
      </w:r>
      <w:r w:rsidRPr="0095091E">
        <w:rPr>
          <w:rFonts w:ascii="Garamond" w:eastAsia="Garamond" w:hAnsi="Garamond" w:cs="Garamond"/>
          <w:bCs/>
        </w:rPr>
        <w:t>(</w:t>
      </w:r>
      <w:hyperlink r:id="rId15" w:history="1">
        <w:r w:rsidR="001F62E6" w:rsidRPr="00E862E1">
          <w:rPr>
            <w:rStyle w:val="Hyperlink"/>
            <w:rFonts w:ascii="Garamond" w:eastAsia="Garamond" w:hAnsi="Garamond" w:cs="Garamond"/>
            <w:bCs/>
          </w:rPr>
          <w:t>emailpenulis01@gmail.com</w:t>
        </w:r>
      </w:hyperlink>
      <w:r w:rsidRPr="0095091E">
        <w:rPr>
          <w:rFonts w:ascii="Garamond" w:eastAsia="Garamond" w:hAnsi="Garamond" w:cs="Garamond"/>
          <w:bCs/>
        </w:rPr>
        <w:t xml:space="preserve">), </w:t>
      </w:r>
      <w:r w:rsidR="001F62E6">
        <w:rPr>
          <w:rFonts w:ascii="Garamond" w:eastAsia="Garamond" w:hAnsi="Garamond" w:cs="Garamond"/>
          <w:bCs/>
        </w:rPr>
        <w:t>Nama Afiliasi Penulis</w:t>
      </w:r>
    </w:p>
    <w:p w14:paraId="4D734DCD" w14:textId="77777777" w:rsidR="0095091E" w:rsidRDefault="0095091E" w:rsidP="0095091E">
      <w:pPr>
        <w:spacing w:after="0" w:line="240" w:lineRule="auto"/>
        <w:rPr>
          <w:rFonts w:ascii="Garamond" w:eastAsia="Garamond" w:hAnsi="Garamond" w:cs="Garamond"/>
          <w:bCs/>
        </w:rPr>
      </w:pPr>
    </w:p>
    <w:p w14:paraId="55B6D9B0" w14:textId="77777777" w:rsidR="0095091E" w:rsidRDefault="0095091E" w:rsidP="0095091E">
      <w:pPr>
        <w:spacing w:after="0" w:line="240" w:lineRule="auto"/>
        <w:rPr>
          <w:rFonts w:ascii="Garamond" w:eastAsia="Garamond" w:hAnsi="Garamond" w:cs="Garamond"/>
          <w:bCs/>
        </w:rPr>
      </w:pPr>
    </w:p>
    <w:p w14:paraId="48295A6B" w14:textId="77777777" w:rsidR="0095091E" w:rsidRDefault="0095091E">
      <w:pPr>
        <w:rPr>
          <w:rFonts w:ascii="Garamond" w:eastAsia="Garamond" w:hAnsi="Garamond" w:cs="Garamond"/>
          <w:bCs/>
        </w:rPr>
      </w:pPr>
      <w:r>
        <w:rPr>
          <w:rFonts w:ascii="Garamond" w:eastAsia="Garamond" w:hAnsi="Garamond" w:cs="Garamond"/>
          <w:bCs/>
        </w:rPr>
        <w:br w:type="page"/>
      </w:r>
    </w:p>
    <w:p w14:paraId="29F3370B" w14:textId="7CDA6525" w:rsidR="000F5EBF"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lastRenderedPageBreak/>
        <w:t>PENDAHULUAN</w:t>
      </w:r>
    </w:p>
    <w:p w14:paraId="123949D2"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 xml:space="preserve">Pendahuluan ditulis dengan alur deduktif yang membawa pembaca dari gambaran umum menuju urgensi masalah yang lebih spesifik. Anda perlu mengawali bagian ini dengan memaparkan fenomena terbaru atau landasan teori yang relevan untuk membangun konteks penelitian yang kuat. Fokus utama Anda adalah mengidentifikasi </w:t>
      </w:r>
      <w:r w:rsidRPr="00B51FD9">
        <w:rPr>
          <w:rFonts w:ascii="Garamond" w:eastAsia="Garamond" w:hAnsi="Garamond" w:cs="Garamond"/>
          <w:i/>
          <w:iCs/>
          <w:sz w:val="24"/>
          <w:szCs w:val="24"/>
          <w:lang w:val="en-ID"/>
        </w:rPr>
        <w:t>research gap</w:t>
      </w:r>
      <w:r w:rsidRPr="00B51FD9">
        <w:rPr>
          <w:rFonts w:ascii="Garamond" w:eastAsia="Garamond" w:hAnsi="Garamond" w:cs="Garamond"/>
          <w:sz w:val="24"/>
          <w:szCs w:val="24"/>
          <w:lang w:val="en-ID"/>
        </w:rPr>
        <w:t xml:space="preserve"> atau kesenjangan penelitian, yaitu dengan menjelaskan apa yang sudah diketahui dari penelitian terdahulu dan bagian mana yang belum terjawab, sehingga kebaruan (</w:t>
      </w:r>
      <w:r w:rsidRPr="00B51FD9">
        <w:rPr>
          <w:rFonts w:ascii="Garamond" w:eastAsia="Garamond" w:hAnsi="Garamond" w:cs="Garamond"/>
          <w:i/>
          <w:iCs/>
          <w:sz w:val="24"/>
          <w:szCs w:val="24"/>
          <w:lang w:val="en-ID"/>
        </w:rPr>
        <w:t>novelty</w:t>
      </w:r>
      <w:r w:rsidRPr="00B51FD9">
        <w:rPr>
          <w:rFonts w:ascii="Garamond" w:eastAsia="Garamond" w:hAnsi="Garamond" w:cs="Garamond"/>
          <w:sz w:val="24"/>
          <w:szCs w:val="24"/>
          <w:lang w:val="en-ID"/>
        </w:rPr>
        <w:t>) dari naskah Anda terlihat jelas dan meyakinkan.</w:t>
      </w:r>
    </w:p>
    <w:p w14:paraId="3AD1B111"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Pada bagian akhir, Anda harus menegaskan tujuan penelitian sebagai solusi atas kesenjangan yang telah diuraikan sebelumnya. Paparkan secara ringkas kontribusi apa yang ingin Anda berikan, baik secara teoretis maupun praktis, untuk memperkaya khazanah keilmuan di bidang tersebut. Pastikan setiap klaim yang Anda buat didukung oleh sitasi dari literatur primer yang kredibel dan mutakhir, sehingga pendahuluan ini berfungsi sebagai fondasi yang kokoh bagi keseluruhan argumen dalam artikel Anda.</w:t>
      </w:r>
    </w:p>
    <w:p w14:paraId="21057CAC" w14:textId="77777777" w:rsidR="00B51FD9" w:rsidRPr="00B51FD9" w:rsidRDefault="00B51FD9" w:rsidP="00B51FD9">
      <w:pPr>
        <w:spacing w:after="0"/>
        <w:ind w:firstLine="720"/>
        <w:jc w:val="both"/>
        <w:rPr>
          <w:rFonts w:ascii="Garamond" w:eastAsia="Garamond" w:hAnsi="Garamond" w:cs="Garamond"/>
          <w:sz w:val="24"/>
          <w:szCs w:val="24"/>
          <w:lang w:val="en-ID"/>
        </w:rPr>
      </w:pPr>
    </w:p>
    <w:p w14:paraId="2EB52748" w14:textId="708B9F18"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METODE</w:t>
      </w:r>
    </w:p>
    <w:p w14:paraId="7206B0B4" w14:textId="77777777" w:rsidR="00B51FD9" w:rsidRPr="00B51FD9" w:rsidRDefault="00B51FD9" w:rsidP="00B51FD9">
      <w:pPr>
        <w:spacing w:after="0"/>
        <w:ind w:firstLine="720"/>
        <w:jc w:val="both"/>
        <w:rPr>
          <w:rFonts w:ascii="Garamond" w:eastAsia="Garamond" w:hAnsi="Garamond" w:cs="Garamond"/>
          <w:sz w:val="24"/>
          <w:szCs w:val="24"/>
          <w:lang w:val="en-ID"/>
        </w:rPr>
      </w:pPr>
      <w:r w:rsidRPr="00B51FD9">
        <w:rPr>
          <w:rFonts w:ascii="Garamond" w:eastAsia="Garamond" w:hAnsi="Garamond" w:cs="Garamond"/>
          <w:sz w:val="24"/>
          <w:szCs w:val="24"/>
          <w:lang w:val="en-ID"/>
        </w:rPr>
        <w:t>Metode ditulis dengan penjelasan yang sangat rinci namun sistematis, sehingga memungkinkan peneliti lain untuk mereplikasi studi Anda dengan hasil yang konsisten. Anda perlu menguraikan desain penelitian yang digunakan, populasi serta teknik pengambilan sampel, hingga instrumen atau alat yang menjadi dasar pengumpulan data. Pastikan pula setiap langkah dalam prosedur analisis data dijelaskan secara transparan, termasuk penggunaan perangkat lunak statistik atau teknik pengolahan data kualitatif tertentu. Dengan menyajikan alur kerja yang logis dan jelas, Anda tidak hanya membangun kredibilitas teknis dalam naskah, tetapi juga memberikan jaminan objektifitas atas temuan yang akan dipaparkan kemudian.</w:t>
      </w:r>
    </w:p>
    <w:p w14:paraId="13B3FDB2" w14:textId="77777777" w:rsidR="00B51FD9" w:rsidRPr="00B51FD9" w:rsidRDefault="00B51FD9" w:rsidP="00B51FD9">
      <w:pPr>
        <w:spacing w:after="0"/>
        <w:ind w:firstLine="720"/>
        <w:jc w:val="both"/>
        <w:rPr>
          <w:rFonts w:ascii="Garamond" w:eastAsia="Garamond" w:hAnsi="Garamond" w:cs="Garamond"/>
          <w:sz w:val="24"/>
          <w:szCs w:val="24"/>
          <w:lang w:val="en-ID"/>
        </w:rPr>
      </w:pPr>
    </w:p>
    <w:p w14:paraId="4261A642" w14:textId="1FF0A982"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HASIL PENELITIAN</w:t>
      </w:r>
    </w:p>
    <w:p w14:paraId="4DF4D2A0" w14:textId="77777777" w:rsidR="00B51FD9" w:rsidRPr="00B51FD9" w:rsidRDefault="00B51FD9" w:rsidP="00B51FD9">
      <w:pPr>
        <w:spacing w:after="0"/>
        <w:ind w:firstLine="720"/>
        <w:jc w:val="both"/>
        <w:rPr>
          <w:rFonts w:ascii="Garamond" w:hAnsi="Garamond"/>
          <w:sz w:val="24"/>
          <w:szCs w:val="24"/>
          <w:lang w:val="en-ID"/>
        </w:rPr>
      </w:pPr>
      <w:r w:rsidRPr="00B51FD9">
        <w:rPr>
          <w:rFonts w:ascii="Garamond" w:hAnsi="Garamond"/>
          <w:sz w:val="24"/>
          <w:szCs w:val="24"/>
          <w:lang w:val="en-ID"/>
        </w:rPr>
        <w:t>Hasil ditulis secara objektif dan sistematis untuk memaparkan temuan utama penelitian tanpa interpretasi subjektif yang berlebihan. Anda perlu menyajikan data yang paling relevan dengan tujuan penelitian, baik dalam bentuk narasi yang lugas maupun melalui dukungan visual seperti tabel atau gambar yang informatif. Pastikan setiap data yang ditampilkan memiliki makna yang jelas dan langsung menjawab rumusan masalah, sehingga pembaca dapat mengikuti alur pembuktian hipotesis atau eksplorasi fenomena yang Anda lakukan secara transparan.</w:t>
      </w:r>
    </w:p>
    <w:p w14:paraId="44B25F3B" w14:textId="77777777" w:rsidR="00F5228D" w:rsidRDefault="00B51FD9" w:rsidP="00F5228D">
      <w:pPr>
        <w:spacing w:after="0"/>
        <w:ind w:firstLine="720"/>
        <w:jc w:val="both"/>
        <w:rPr>
          <w:rFonts w:ascii="Garamond" w:hAnsi="Garamond"/>
          <w:sz w:val="24"/>
          <w:szCs w:val="24"/>
          <w:lang w:val="en-ID"/>
        </w:rPr>
      </w:pPr>
      <w:r w:rsidRPr="00B51FD9">
        <w:rPr>
          <w:rFonts w:ascii="Garamond" w:hAnsi="Garamond"/>
          <w:sz w:val="24"/>
          <w:szCs w:val="24"/>
          <w:lang w:val="en-ID"/>
        </w:rPr>
        <w:t>Pada bagian ini, fokuslah untuk menonjolkan tren, pola, atau perbedaan signifikan yang ditemukan selama proses analisis. Hindari pengulangan data yang sudah tertera jelas dalam tabel ke dalam bentuk teks; sebaliknya, gunakan narasi untuk memberikan penekanan pada poin-poin krusial yang menjadi inti dari temuan tersebut. Dengan menyusun bagian hasil yang ringkas dan padat, Anda memberikan fondasi yang kuat bagi pembaca sebelum beralih ke tahap interpretasi dan perbandingan yang lebih mendalam pada bagian pembahasan.</w:t>
      </w:r>
    </w:p>
    <w:p w14:paraId="10873652" w14:textId="24BEBF01" w:rsidR="00AF62FA" w:rsidRPr="00F5228D" w:rsidRDefault="00AF62FA" w:rsidP="00F5228D">
      <w:pPr>
        <w:spacing w:after="0"/>
        <w:ind w:firstLine="720"/>
        <w:jc w:val="both"/>
        <w:rPr>
          <w:rFonts w:ascii="Garamond" w:hAnsi="Garamond"/>
          <w:sz w:val="24"/>
          <w:szCs w:val="24"/>
          <w:lang w:val="en-ID"/>
        </w:rPr>
      </w:pPr>
      <w:r w:rsidRPr="00AF62FA">
        <w:rPr>
          <w:rFonts w:ascii="Garamond" w:hAnsi="Garamond"/>
          <w:sz w:val="24"/>
          <w:szCs w:val="24"/>
          <w:lang w:val="en-US"/>
        </w:rPr>
        <w:t xml:space="preserve">Setiap kutipan ditulis dengan cara khusus yang dapat diidentifikasi sebagai "kutipan" yang berbeda dari teks asli Anda. Di akhir setiap kutipan, Anda harus mencantumkan </w:t>
      </w:r>
      <w:r w:rsidRPr="00AF62FA">
        <w:rPr>
          <w:rFonts w:ascii="Garamond" w:hAnsi="Garamond"/>
          <w:sz w:val="24"/>
          <w:szCs w:val="24"/>
          <w:lang w:val="en-US"/>
        </w:rPr>
        <w:lastRenderedPageBreak/>
        <w:t>referensinya dalam gaya catatan kaki Chicago Manual Style Edisi ke-18 (catatan lengkap). Referensi juga harus dicantumkan di akhir setiap kutipan, dengan memparafrasekan ide dari karya orang lain. Jika kutipan diambil dari buku, harus seperti ini,</w:t>
      </w:r>
      <w:r w:rsidRPr="00B51FD9">
        <w:rPr>
          <w:rStyle w:val="FootnoteReference"/>
          <w:rFonts w:ascii="Garamond" w:hAnsi="Garamond"/>
          <w:sz w:val="24"/>
          <w:szCs w:val="24"/>
        </w:rPr>
        <w:footnoteReference w:id="1"/>
      </w:r>
      <w:r w:rsidRPr="00AF62FA">
        <w:rPr>
          <w:rFonts w:ascii="Garamond" w:hAnsi="Garamond"/>
          <w:sz w:val="24"/>
          <w:szCs w:val="24"/>
          <w:lang w:val="en-US"/>
        </w:rPr>
        <w:t xml:space="preserve"> dan kutipan selanjutnya seperti ini.</w:t>
      </w:r>
      <w:r w:rsidRPr="00B51FD9">
        <w:rPr>
          <w:rStyle w:val="FootnoteReference"/>
          <w:rFonts w:ascii="Garamond" w:hAnsi="Garamond"/>
          <w:sz w:val="24"/>
          <w:szCs w:val="24"/>
        </w:rPr>
        <w:footnoteReference w:id="2"/>
      </w:r>
      <w:r w:rsidRPr="00AF62FA">
        <w:rPr>
          <w:rFonts w:ascii="Garamond" w:hAnsi="Garamond"/>
          <w:sz w:val="24"/>
          <w:szCs w:val="24"/>
          <w:lang w:val="en-US"/>
        </w:rPr>
        <w:t xml:space="preserve"> Buku dengan volume</w:t>
      </w:r>
      <w:r w:rsidRPr="00B51FD9">
        <w:rPr>
          <w:rStyle w:val="FootnoteReference"/>
          <w:rFonts w:ascii="Garamond" w:hAnsi="Garamond"/>
          <w:sz w:val="24"/>
          <w:szCs w:val="24"/>
        </w:rPr>
        <w:footnoteReference w:id="3"/>
      </w:r>
      <w:r w:rsidRPr="00AF62FA">
        <w:rPr>
          <w:rFonts w:ascii="Garamond" w:hAnsi="Garamond"/>
          <w:sz w:val="24"/>
          <w:szCs w:val="24"/>
          <w:lang w:val="en-US"/>
        </w:rPr>
        <w:t xml:space="preserve"> yang dikutip dalam catatan selanjutnya</w:t>
      </w:r>
      <w:r w:rsidRPr="00B51FD9">
        <w:rPr>
          <w:rStyle w:val="FootnoteReference"/>
          <w:rFonts w:ascii="Garamond" w:hAnsi="Garamond"/>
          <w:sz w:val="24"/>
          <w:szCs w:val="24"/>
        </w:rPr>
        <w:footnoteReference w:id="4"/>
      </w:r>
      <w:r w:rsidRPr="00AF62FA">
        <w:rPr>
          <w:rFonts w:ascii="Garamond" w:hAnsi="Garamond"/>
          <w:sz w:val="24"/>
          <w:szCs w:val="24"/>
          <w:lang w:val="en-US"/>
        </w:rPr>
        <w:t>. Cukup sebutkan nama belakang penulis dan versi judul karya yang diurutkan. Contoh referensi selain buku adalah artikel dalam jurnal,</w:t>
      </w:r>
      <w:r w:rsidRPr="00B51FD9">
        <w:rPr>
          <w:rStyle w:val="FootnoteReference"/>
          <w:rFonts w:ascii="Garamond" w:hAnsi="Garamond"/>
          <w:sz w:val="24"/>
          <w:szCs w:val="24"/>
        </w:rPr>
        <w:footnoteReference w:id="5"/>
      </w:r>
      <w:r w:rsidRPr="00AF62FA">
        <w:rPr>
          <w:rFonts w:ascii="Garamond" w:hAnsi="Garamond"/>
          <w:sz w:val="24"/>
          <w:szCs w:val="24"/>
          <w:lang w:val="en-US"/>
        </w:rPr>
        <w:t xml:space="preserve"> atau jurnal ini,</w:t>
      </w:r>
      <w:r w:rsidRPr="00B51FD9">
        <w:rPr>
          <w:rStyle w:val="FootnoteReference"/>
          <w:rFonts w:ascii="Garamond" w:hAnsi="Garamond"/>
          <w:sz w:val="24"/>
          <w:szCs w:val="24"/>
        </w:rPr>
        <w:footnoteReference w:id="6"/>
      </w:r>
      <w:r w:rsidRPr="00AF62FA">
        <w:rPr>
          <w:rFonts w:ascii="Garamond" w:hAnsi="Garamond"/>
          <w:sz w:val="24"/>
          <w:szCs w:val="24"/>
          <w:lang w:val="en-US"/>
        </w:rPr>
        <w:t xml:space="preserve"> situs web,</w:t>
      </w:r>
      <w:r w:rsidRPr="00B51FD9">
        <w:rPr>
          <w:rStyle w:val="FootnoteReference"/>
          <w:rFonts w:ascii="Garamond" w:hAnsi="Garamond"/>
          <w:sz w:val="24"/>
          <w:szCs w:val="24"/>
        </w:rPr>
        <w:footnoteReference w:id="7"/>
      </w:r>
      <w:r w:rsidRPr="00AF62FA">
        <w:rPr>
          <w:rFonts w:ascii="Garamond" w:hAnsi="Garamond"/>
          <w:sz w:val="24"/>
          <w:szCs w:val="24"/>
          <w:lang w:val="en-US"/>
        </w:rPr>
        <w:t xml:space="preserve"> undang-undang,</w:t>
      </w:r>
      <w:r w:rsidRPr="00B51FD9">
        <w:rPr>
          <w:rStyle w:val="FootnoteReference"/>
          <w:rFonts w:ascii="Garamond" w:hAnsi="Garamond"/>
          <w:sz w:val="24"/>
          <w:szCs w:val="24"/>
        </w:rPr>
        <w:footnoteReference w:id="8"/>
      </w:r>
      <w:r w:rsidRPr="00AF62FA">
        <w:rPr>
          <w:rFonts w:ascii="Garamond" w:hAnsi="Garamond"/>
          <w:sz w:val="24"/>
          <w:szCs w:val="24"/>
          <w:lang w:val="en-US"/>
        </w:rPr>
        <w:t xml:space="preserve"> putusan pengadilan,</w:t>
      </w:r>
      <w:r w:rsidRPr="00B51FD9">
        <w:rPr>
          <w:rStyle w:val="FootnoteReference"/>
          <w:rFonts w:ascii="Garamond" w:hAnsi="Garamond"/>
          <w:sz w:val="24"/>
          <w:szCs w:val="24"/>
        </w:rPr>
        <w:footnoteReference w:id="9"/>
      </w:r>
      <w:r w:rsidRPr="00AF62FA">
        <w:rPr>
          <w:rFonts w:ascii="Garamond" w:hAnsi="Garamond"/>
          <w:sz w:val="24"/>
          <w:szCs w:val="24"/>
          <w:lang w:val="en-US"/>
        </w:rPr>
        <w:t xml:space="preserve"> hasil wawancara,</w:t>
      </w:r>
      <w:r w:rsidRPr="00B51FD9">
        <w:rPr>
          <w:rStyle w:val="FootnoteReference"/>
          <w:rFonts w:ascii="Garamond" w:hAnsi="Garamond"/>
          <w:sz w:val="24"/>
          <w:szCs w:val="24"/>
        </w:rPr>
        <w:footnoteReference w:id="10"/>
      </w:r>
      <w:r w:rsidRPr="00AF62FA">
        <w:rPr>
          <w:rFonts w:ascii="Garamond" w:hAnsi="Garamond"/>
          <w:sz w:val="24"/>
          <w:szCs w:val="24"/>
          <w:lang w:val="en-US"/>
        </w:rPr>
        <w:t xml:space="preserve"> bab buku,</w:t>
      </w:r>
      <w:r w:rsidRPr="00B51FD9">
        <w:rPr>
          <w:rStyle w:val="FootnoteReference"/>
          <w:rFonts w:ascii="Garamond" w:hAnsi="Garamond"/>
          <w:sz w:val="24"/>
          <w:szCs w:val="24"/>
        </w:rPr>
        <w:footnoteReference w:id="11"/>
      </w:r>
      <w:r w:rsidRPr="00AF62FA">
        <w:rPr>
          <w:rFonts w:ascii="Garamond" w:hAnsi="Garamond"/>
          <w:sz w:val="24"/>
          <w:szCs w:val="24"/>
          <w:lang w:val="en-US"/>
        </w:rPr>
        <w:t xml:space="preserve"> dan tesis PhD.</w:t>
      </w:r>
      <w:r w:rsidRPr="00B51FD9">
        <w:rPr>
          <w:rStyle w:val="FootnoteReference"/>
          <w:rFonts w:ascii="Garamond" w:hAnsi="Garamond"/>
          <w:sz w:val="24"/>
          <w:szCs w:val="24"/>
        </w:rPr>
        <w:footnoteReference w:id="12"/>
      </w:r>
      <w:r w:rsidRPr="00AF62FA">
        <w:rPr>
          <w:rFonts w:ascii="Garamond" w:hAnsi="Garamond"/>
          <w:sz w:val="24"/>
          <w:szCs w:val="24"/>
          <w:lang w:val="en-US"/>
        </w:rPr>
        <w:t xml:space="preserve"> Harap berikan URL internet lengkap dan tanggal akses (lihat catatan kaki 7).</w:t>
      </w:r>
    </w:p>
    <w:p w14:paraId="452ED6EE" w14:textId="77777777" w:rsidR="00B51FD9" w:rsidRPr="00B51FD9" w:rsidRDefault="00B51FD9" w:rsidP="00B51FD9">
      <w:pPr>
        <w:spacing w:after="0"/>
        <w:ind w:firstLine="720"/>
        <w:jc w:val="both"/>
        <w:rPr>
          <w:rFonts w:ascii="Garamond" w:eastAsia="Garamond" w:hAnsi="Garamond" w:cs="Garamond"/>
          <w:sz w:val="24"/>
          <w:szCs w:val="24"/>
          <w:lang w:val="en-US"/>
        </w:rPr>
      </w:pPr>
    </w:p>
    <w:p w14:paraId="5DDDFD4B" w14:textId="2CCB1A97"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KESIMPULAN</w:t>
      </w:r>
    </w:p>
    <w:p w14:paraId="044C0149" w14:textId="474E18F6" w:rsidR="00B51FD9" w:rsidRDefault="00B51FD9" w:rsidP="00B51FD9">
      <w:pPr>
        <w:spacing w:after="0"/>
        <w:ind w:firstLine="720"/>
        <w:jc w:val="both"/>
        <w:rPr>
          <w:rFonts w:ascii="Garamond" w:eastAsia="Garamond" w:hAnsi="Garamond" w:cs="Garamond"/>
          <w:sz w:val="24"/>
          <w:szCs w:val="24"/>
        </w:rPr>
      </w:pPr>
      <w:r w:rsidRPr="00B51FD9">
        <w:rPr>
          <w:rFonts w:ascii="Garamond" w:eastAsia="Garamond" w:hAnsi="Garamond" w:cs="Garamond"/>
          <w:sz w:val="24"/>
          <w:szCs w:val="24"/>
        </w:rPr>
        <w:t>Kesimpulan ditulis secara ringkas dan padat untuk merangkum jawaban atas tujuan penelitian yang telah dipaparkan di bagian pendahuluan. Anda tidak perlu mengulang kutipan teori atau data statistik yang mendalam di sini; sebaliknya, fokuslah pada penyampaian inti temuan serta implikasi praktis atau teoretis yang dihasilkan dari studi tersebut. Paragraf ini juga merupakan ruang bagi Anda untuk memberikan saran yang konstruktif atau rekomendasi untuk penelitian mendatang berdasarkan keterbatasan yang ditemukan, sehingga bagian akhir naskah Anda memberikan kesan penutup yang kuat dan bermakna bagi pembaca maupun praktisi di bidang terkait.</w:t>
      </w:r>
    </w:p>
    <w:p w14:paraId="4683A7AB" w14:textId="77777777" w:rsidR="00B51FD9" w:rsidRPr="00B51FD9" w:rsidRDefault="00B51FD9" w:rsidP="00B51FD9">
      <w:pPr>
        <w:spacing w:after="0"/>
        <w:ind w:firstLine="720"/>
        <w:jc w:val="both"/>
        <w:rPr>
          <w:rFonts w:ascii="Garamond" w:eastAsia="Garamond" w:hAnsi="Garamond" w:cs="Garamond"/>
          <w:sz w:val="24"/>
          <w:szCs w:val="24"/>
        </w:rPr>
      </w:pPr>
    </w:p>
    <w:p w14:paraId="7EEED8B7" w14:textId="67799D80" w:rsidR="00DE650A" w:rsidRPr="00B51FD9" w:rsidRDefault="00DE650A" w:rsidP="00B51FD9">
      <w:pPr>
        <w:spacing w:after="0"/>
        <w:rPr>
          <w:rFonts w:ascii="Garamond" w:eastAsia="Garamond" w:hAnsi="Garamond" w:cs="Garamond"/>
          <w:b/>
          <w:sz w:val="24"/>
          <w:szCs w:val="24"/>
        </w:rPr>
      </w:pPr>
      <w:r w:rsidRPr="00B51FD9">
        <w:rPr>
          <w:rFonts w:ascii="Garamond" w:eastAsia="Garamond" w:hAnsi="Garamond" w:cs="Garamond"/>
          <w:b/>
          <w:sz w:val="24"/>
          <w:szCs w:val="24"/>
        </w:rPr>
        <w:t>DAFTAR PUSTAKA</w:t>
      </w:r>
    </w:p>
    <w:p w14:paraId="3ACEA8E3" w14:textId="77777777" w:rsidR="00AF62FA" w:rsidRPr="00AF62FA" w:rsidRDefault="00AF62FA" w:rsidP="00AF62FA">
      <w:pPr>
        <w:pStyle w:val="Bibliography"/>
        <w:jc w:val="both"/>
        <w:rPr>
          <w:rFonts w:ascii="Garamond" w:hAnsi="Garamond"/>
          <w:sz w:val="24"/>
        </w:rPr>
      </w:pPr>
      <w:r w:rsidRPr="00AF62FA">
        <w:rPr>
          <w:rFonts w:ascii="Garamond" w:hAnsi="Garamond"/>
          <w:sz w:val="24"/>
          <w:szCs w:val="24"/>
          <w:lang w:val="en-US"/>
        </w:rPr>
        <w:fldChar w:fldCharType="begin"/>
      </w:r>
      <w:r w:rsidRPr="00AF62FA">
        <w:rPr>
          <w:rFonts w:ascii="Garamond" w:hAnsi="Garamond"/>
          <w:sz w:val="24"/>
          <w:szCs w:val="24"/>
          <w:lang w:val="en-US"/>
        </w:rPr>
        <w:instrText xml:space="preserve"> ADDIN ZOTERO_BIBL {"uncited":[],"omitted":[],"custom":[]} CSL_BIBLIOGRAPHY </w:instrText>
      </w:r>
      <w:r w:rsidRPr="00AF62FA">
        <w:rPr>
          <w:rFonts w:ascii="Garamond" w:hAnsi="Garamond"/>
          <w:sz w:val="24"/>
          <w:szCs w:val="24"/>
          <w:lang w:val="en-US"/>
        </w:rPr>
        <w:fldChar w:fldCharType="separate"/>
      </w:r>
      <w:r w:rsidRPr="00AF62FA">
        <w:rPr>
          <w:rFonts w:ascii="Garamond" w:hAnsi="Garamond"/>
          <w:sz w:val="24"/>
        </w:rPr>
        <w:t xml:space="preserve">Adeney-Risakotta, Bernard. “Traditional, Islamic and National Law in the Experience of Indonesian Muslim Women.” Dalam </w:t>
      </w:r>
      <w:r w:rsidRPr="00AF62FA">
        <w:rPr>
          <w:rFonts w:ascii="Garamond" w:hAnsi="Garamond"/>
          <w:i/>
          <w:iCs/>
          <w:sz w:val="24"/>
        </w:rPr>
        <w:t>Narratives of Muslim Womanhood and Women’s Agency</w:t>
      </w:r>
      <w:r w:rsidRPr="00AF62FA">
        <w:rPr>
          <w:rFonts w:ascii="Garamond" w:hAnsi="Garamond"/>
          <w:sz w:val="24"/>
        </w:rPr>
        <w:t>. Routledge, 2018. https://doi.org/10.4324/9780203713129-6.</w:t>
      </w:r>
    </w:p>
    <w:p w14:paraId="2531CF3A" w14:textId="77777777" w:rsidR="00AF62FA" w:rsidRPr="00AF62FA" w:rsidRDefault="00AF62FA" w:rsidP="00AF62FA">
      <w:pPr>
        <w:pStyle w:val="Bibliography"/>
        <w:jc w:val="both"/>
        <w:rPr>
          <w:rFonts w:ascii="Garamond" w:hAnsi="Garamond"/>
          <w:sz w:val="24"/>
        </w:rPr>
      </w:pPr>
      <w:r w:rsidRPr="00AF62FA">
        <w:rPr>
          <w:rFonts w:ascii="Garamond" w:hAnsi="Garamond"/>
          <w:sz w:val="24"/>
        </w:rPr>
        <w:lastRenderedPageBreak/>
        <w:t>Al-Zu</w:t>
      </w:r>
      <w:r w:rsidRPr="00AF62FA">
        <w:rPr>
          <w:rFonts w:ascii="Cambria" w:hAnsi="Cambria" w:cs="Cambria"/>
          <w:sz w:val="24"/>
        </w:rPr>
        <w:t>ḥ</w:t>
      </w:r>
      <w:r w:rsidRPr="00AF62FA">
        <w:rPr>
          <w:rFonts w:ascii="Garamond" w:hAnsi="Garamond"/>
          <w:sz w:val="24"/>
        </w:rPr>
        <w:t xml:space="preserve">ailī, Wahbah. </w:t>
      </w:r>
      <w:r w:rsidRPr="00AF62FA">
        <w:rPr>
          <w:rFonts w:ascii="Garamond" w:hAnsi="Garamond"/>
          <w:i/>
          <w:iCs/>
          <w:sz w:val="24"/>
        </w:rPr>
        <w:t>Al-Fiqh al-Islamī wa Adillatuhu</w:t>
      </w:r>
      <w:r w:rsidRPr="00AF62FA">
        <w:rPr>
          <w:rFonts w:ascii="Garamond" w:hAnsi="Garamond"/>
          <w:sz w:val="24"/>
        </w:rPr>
        <w:t>. Vol. 8. 5. Dār Al-Fikr, 1985.</w:t>
      </w:r>
    </w:p>
    <w:p w14:paraId="02E7B7D8"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Bello, Abdulmajeed Hassan. “The Punishment for Adultery in Islamic Law and Its Application in Nigeria.” </w:t>
      </w:r>
      <w:r w:rsidRPr="00AF62FA">
        <w:rPr>
          <w:rFonts w:ascii="Garamond" w:hAnsi="Garamond"/>
          <w:i/>
          <w:iCs/>
          <w:sz w:val="24"/>
        </w:rPr>
        <w:t>Journal of Islamic Law and Culture</w:t>
      </w:r>
      <w:r w:rsidRPr="00AF62FA">
        <w:rPr>
          <w:rFonts w:ascii="Garamond" w:hAnsi="Garamond"/>
          <w:sz w:val="24"/>
        </w:rPr>
        <w:t xml:space="preserve"> 13, no. 2–3 (2011): 166–82. https://doi.org/10.1080/1528817X.2012.733132.</w:t>
      </w:r>
    </w:p>
    <w:p w14:paraId="0E848FCC"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Fauzi, Muhammad Latif. </w:t>
      </w:r>
      <w:r w:rsidRPr="00AF62FA">
        <w:rPr>
          <w:rFonts w:ascii="Garamond" w:hAnsi="Garamond"/>
          <w:i/>
          <w:iCs/>
          <w:sz w:val="24"/>
        </w:rPr>
        <w:t>Aligning Religious Law and State Law: Negotiating Legal Muslim Marriage in Pasuruan, East Java</w:t>
      </w:r>
      <w:r w:rsidRPr="00AF62FA">
        <w:rPr>
          <w:rFonts w:ascii="Garamond" w:hAnsi="Garamond"/>
          <w:sz w:val="24"/>
        </w:rPr>
        <w:t>. Leiden Studies in Islam and Society 18. Brill, 2023.</w:t>
      </w:r>
    </w:p>
    <w:p w14:paraId="0E8D2CAD" w14:textId="77777777" w:rsidR="00AF62FA" w:rsidRPr="00AF62FA" w:rsidRDefault="00AF62FA" w:rsidP="00AF62FA">
      <w:pPr>
        <w:pStyle w:val="Bibliography"/>
        <w:jc w:val="both"/>
        <w:rPr>
          <w:rFonts w:ascii="Garamond" w:hAnsi="Garamond"/>
          <w:sz w:val="24"/>
        </w:rPr>
      </w:pPr>
      <w:r w:rsidRPr="00AF62FA">
        <w:rPr>
          <w:rFonts w:ascii="Garamond" w:hAnsi="Garamond"/>
          <w:sz w:val="24"/>
        </w:rPr>
        <w:t xml:space="preserve">Hakim, Muhammad Lutfi, dan Khoiruddin Nasution. “Accommodating Non-Muslim Rights: Legal Arguments and Legal Principles in the Islamic Jurisprudence of the Indonesian Supreme Court in the Post-New Order Era.” </w:t>
      </w:r>
      <w:r w:rsidRPr="00AF62FA">
        <w:rPr>
          <w:rFonts w:ascii="Garamond" w:hAnsi="Garamond"/>
          <w:i/>
          <w:iCs/>
          <w:sz w:val="24"/>
        </w:rPr>
        <w:t>Oxford Journal of Law and Religion</w:t>
      </w:r>
      <w:r w:rsidRPr="00AF62FA">
        <w:rPr>
          <w:rFonts w:ascii="Garamond" w:hAnsi="Garamond"/>
          <w:sz w:val="24"/>
        </w:rPr>
        <w:t xml:space="preserve"> 11, no. 2–3 (2023): 288–313. https://doi.org/10.1093/ojlr/rwad004.</w:t>
      </w:r>
    </w:p>
    <w:p w14:paraId="58F7AFBB" w14:textId="77777777" w:rsidR="00AF62FA" w:rsidRPr="00AF62FA" w:rsidRDefault="00AF62FA" w:rsidP="00AF62FA">
      <w:pPr>
        <w:pStyle w:val="Bibliography"/>
        <w:jc w:val="both"/>
        <w:rPr>
          <w:rFonts w:ascii="Garamond" w:hAnsi="Garamond"/>
          <w:sz w:val="24"/>
        </w:rPr>
      </w:pPr>
      <w:r w:rsidRPr="00AF62FA">
        <w:rPr>
          <w:rFonts w:ascii="Garamond" w:hAnsi="Garamond"/>
          <w:sz w:val="24"/>
        </w:rPr>
        <w:t>Lukito, Ratno. “Islamic Law and Adat Encounter: The Experience of Indonesia.” McGill University, 1997. https://escholarship.mcgill.ca/concern/theses/bz60cz53m?locale=en.</w:t>
      </w:r>
    </w:p>
    <w:p w14:paraId="311D6C54" w14:textId="77777777" w:rsidR="00AF62FA" w:rsidRPr="00AF62FA" w:rsidRDefault="00AF62FA" w:rsidP="00AF62FA">
      <w:pPr>
        <w:pStyle w:val="Bibliography"/>
        <w:jc w:val="both"/>
        <w:rPr>
          <w:rFonts w:ascii="Garamond" w:hAnsi="Garamond"/>
          <w:sz w:val="24"/>
        </w:rPr>
      </w:pPr>
      <w:r w:rsidRPr="00AF62FA">
        <w:rPr>
          <w:rFonts w:ascii="Garamond" w:hAnsi="Garamond"/>
          <w:sz w:val="24"/>
        </w:rPr>
        <w:t>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w:t>
      </w:r>
    </w:p>
    <w:p w14:paraId="7225F49F" w14:textId="12FA3808" w:rsidR="00D025A4" w:rsidRPr="00B51FD9" w:rsidRDefault="00AF62FA" w:rsidP="00AF62FA">
      <w:pPr>
        <w:jc w:val="both"/>
        <w:rPr>
          <w:rFonts w:ascii="Cambria" w:hAnsi="Cambria"/>
          <w:sz w:val="24"/>
          <w:szCs w:val="24"/>
          <w:lang w:val="en-US"/>
        </w:rPr>
      </w:pPr>
      <w:r w:rsidRPr="00AF62FA">
        <w:rPr>
          <w:rFonts w:ascii="Garamond" w:hAnsi="Garamond"/>
          <w:sz w:val="24"/>
          <w:szCs w:val="24"/>
          <w:lang w:val="en-US"/>
        </w:rPr>
        <w:fldChar w:fldCharType="end"/>
      </w:r>
    </w:p>
    <w:sectPr w:rsidR="00D025A4" w:rsidRPr="00B51FD9" w:rsidSect="0095091E">
      <w:headerReference w:type="default" r:id="rId16"/>
      <w:footerReference w:type="default" r:id="rId17"/>
      <w:headerReference w:type="first" r:id="rId18"/>
      <w:footerReference w:type="first" r:id="rId19"/>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C537" w14:textId="77777777" w:rsidR="000038EE" w:rsidRDefault="000038EE" w:rsidP="00341E4C">
      <w:pPr>
        <w:spacing w:after="0" w:line="240" w:lineRule="auto"/>
      </w:pPr>
      <w:r>
        <w:separator/>
      </w:r>
    </w:p>
  </w:endnote>
  <w:endnote w:type="continuationSeparator" w:id="0">
    <w:p w14:paraId="0044D07C" w14:textId="77777777" w:rsidR="000038EE" w:rsidRDefault="000038EE" w:rsidP="0034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cstheme="majorBidi"/>
      </w:rPr>
      <w:id w:val="-183749644"/>
      <w:docPartObj>
        <w:docPartGallery w:val="Page Numbers (Bottom of Page)"/>
        <w:docPartUnique/>
      </w:docPartObj>
    </w:sdtPr>
    <w:sdtContent>
      <w:p w14:paraId="3CE4BE82" w14:textId="77777777" w:rsidR="00F61EEC" w:rsidRDefault="00F61EEC" w:rsidP="00F61EEC">
        <w:pPr>
          <w:pStyle w:val="Footer"/>
          <w:tabs>
            <w:tab w:val="center" w:pos="4153"/>
            <w:tab w:val="right" w:pos="8306"/>
          </w:tabs>
          <w:rPr>
            <w:rFonts w:ascii="Garamond" w:hAnsi="Garamond" w:cstheme="majorBidi"/>
          </w:rPr>
        </w:pPr>
        <w:r>
          <w:rPr>
            <w:rFonts w:ascii="Garamond" w:hAnsi="Garamond" w:cstheme="majorBidi"/>
            <w:b/>
            <w:bCs/>
            <w:noProof/>
            <w14:ligatures w14:val="standardContextual"/>
          </w:rPr>
          <mc:AlternateContent>
            <mc:Choice Requires="wps">
              <w:drawing>
                <wp:anchor distT="0" distB="0" distL="114300" distR="114300" simplePos="0" relativeHeight="251661312" behindDoc="0" locked="0" layoutInCell="1" allowOverlap="1" wp14:anchorId="2B5414AF" wp14:editId="53AA5671">
                  <wp:simplePos x="0" y="0"/>
                  <wp:positionH relativeFrom="column">
                    <wp:posOffset>-102235</wp:posOffset>
                  </wp:positionH>
                  <wp:positionV relativeFrom="paragraph">
                    <wp:posOffset>133985</wp:posOffset>
                  </wp:positionV>
                  <wp:extent cx="0" cy="546100"/>
                  <wp:effectExtent l="0" t="0" r="38100" b="25400"/>
                  <wp:wrapNone/>
                  <wp:docPr id="353672584" name="Straight Connector 1"/>
                  <wp:cNvGraphicFramePr/>
                  <a:graphic xmlns:a="http://schemas.openxmlformats.org/drawingml/2006/main">
                    <a:graphicData uri="http://schemas.microsoft.com/office/word/2010/wordprocessingShape">
                      <wps:wsp>
                        <wps:cNvCnPr/>
                        <wps:spPr>
                          <a:xfrm>
                            <a:off x="0" y="0"/>
                            <a:ext cx="0" cy="54610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096C9F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5pt,10.55pt" to="-8.0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" strokecolor="#c00000" strokeweight="1.5pt">
                  <v:stroke joinstyle="miter"/>
                </v:line>
              </w:pict>
            </mc:Fallback>
          </mc:AlternateContent>
        </w:r>
      </w:p>
      <w:p w14:paraId="2E6D6495" w14:textId="77777777" w:rsidR="00F61EEC" w:rsidRPr="00AF62FA" w:rsidRDefault="00F61EEC" w:rsidP="00F61EEC">
        <w:pPr>
          <w:pStyle w:val="Footer"/>
          <w:tabs>
            <w:tab w:val="center" w:pos="4153"/>
            <w:tab w:val="right" w:pos="8306"/>
          </w:tabs>
          <w:rPr>
            <w:rFonts w:ascii="Garamond" w:hAnsi="Garamond" w:cstheme="majorBidi"/>
            <w:b/>
            <w:bCs/>
          </w:rPr>
        </w:pPr>
        <w:r w:rsidRPr="00AF62FA">
          <w:rPr>
            <w:rFonts w:ascii="Garamond" w:hAnsi="Garamond" w:cstheme="majorBidi"/>
            <w:b/>
            <w:bCs/>
          </w:rPr>
          <w:fldChar w:fldCharType="begin"/>
        </w:r>
        <w:r w:rsidRPr="00AF62FA">
          <w:rPr>
            <w:rFonts w:ascii="Garamond" w:hAnsi="Garamond" w:cstheme="majorBidi"/>
            <w:b/>
            <w:bCs/>
          </w:rPr>
          <w:instrText xml:space="preserve"> PAGE   \* MERGEFORMAT </w:instrText>
        </w:r>
        <w:r w:rsidRPr="00AF62FA">
          <w:rPr>
            <w:rFonts w:ascii="Garamond" w:hAnsi="Garamond" w:cstheme="majorBidi"/>
            <w:b/>
            <w:bCs/>
          </w:rPr>
          <w:fldChar w:fldCharType="separate"/>
        </w:r>
        <w:r>
          <w:rPr>
            <w:rFonts w:ascii="Garamond" w:hAnsi="Garamond" w:cstheme="majorBidi"/>
            <w:b/>
            <w:bCs/>
          </w:rPr>
          <w:t>1</w:t>
        </w:r>
        <w:r w:rsidRPr="00AF62FA">
          <w:rPr>
            <w:rFonts w:ascii="Garamond" w:hAnsi="Garamond" w:cstheme="majorBidi"/>
            <w:b/>
            <w:bCs/>
          </w:rPr>
          <w:fldChar w:fldCharType="end"/>
        </w:r>
      </w:p>
      <w:p w14:paraId="35B87C6D" w14:textId="77777777" w:rsidR="00F61EEC" w:rsidRPr="00AF62FA" w:rsidRDefault="00F61EEC" w:rsidP="00F61EEC">
        <w:pPr>
          <w:pStyle w:val="Footer"/>
          <w:rPr>
            <w:rFonts w:ascii="Garamond" w:hAnsi="Garamond" w:cstheme="majorBidi"/>
          </w:rPr>
        </w:pPr>
        <w:r w:rsidRPr="00F61EEC">
          <w:rPr>
            <w:rFonts w:ascii="Garamond" w:hAnsi="Garamond" w:cstheme="majorBidi"/>
          </w:rPr>
          <w:t>Religion : Jurnal Agama, Sosial, dan Budaya</w:t>
        </w:r>
        <w:r>
          <w:rPr>
            <w:rFonts w:ascii="Garamond" w:hAnsi="Garamond" w:cstheme="majorBidi"/>
          </w:rPr>
          <w:t xml:space="preserve"> </w:t>
        </w:r>
        <w:r w:rsidRPr="00AF62FA">
          <w:rPr>
            <w:rFonts w:ascii="Garamond" w:hAnsi="Garamond" w:cstheme="majorBidi"/>
          </w:rPr>
          <w:t>Vol. 3, No. 1</w:t>
        </w:r>
      </w:p>
      <w:p w14:paraId="47A7B72F" w14:textId="60FBA9F1" w:rsidR="00AF62FA" w:rsidRPr="00F61EEC" w:rsidRDefault="00F61EEC" w:rsidP="00F61EEC">
        <w:pPr>
          <w:pStyle w:val="Footer"/>
          <w:rPr>
            <w:rFonts w:ascii="Garamond" w:hAnsi="Garamond" w:cstheme="majorBidi"/>
          </w:rPr>
        </w:pPr>
        <w:r w:rsidRPr="00AF62FA">
          <w:rPr>
            <w:rFonts w:ascii="Garamond" w:hAnsi="Garamond" w:cstheme="majorBidi"/>
          </w:rPr>
          <w:t xml:space="preserve">Januari – </w:t>
        </w:r>
        <w:r>
          <w:rPr>
            <w:rFonts w:ascii="Garamond" w:hAnsi="Garamond" w:cstheme="majorBidi"/>
          </w:rPr>
          <w:t>Februari</w:t>
        </w:r>
        <w:r w:rsidRPr="00AF62FA">
          <w:rPr>
            <w:rFonts w:ascii="Garamond" w:hAnsi="Garamond" w:cstheme="majorBidi"/>
          </w:rPr>
          <w:t xml:space="preserve"> 2026</w:t>
        </w:r>
        <w:r w:rsidRPr="00AF62FA">
          <w:rPr>
            <w:rFonts w:ascii="Garamond" w:hAnsi="Garamond" w:cstheme="majorBidi"/>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cstheme="majorBidi"/>
      </w:rPr>
      <w:id w:val="-934198296"/>
      <w:docPartObj>
        <w:docPartGallery w:val="Page Numbers (Bottom of Page)"/>
        <w:docPartUnique/>
      </w:docPartObj>
    </w:sdtPr>
    <w:sdtEndPr/>
    <w:sdtContent>
      <w:p w14:paraId="37434630" w14:textId="39722CEB" w:rsidR="00AF62FA" w:rsidRDefault="00520F1A" w:rsidP="00AF62FA">
        <w:pPr>
          <w:pStyle w:val="Footer"/>
          <w:tabs>
            <w:tab w:val="center" w:pos="4153"/>
            <w:tab w:val="right" w:pos="8306"/>
          </w:tabs>
          <w:rPr>
            <w:rFonts w:ascii="Garamond" w:hAnsi="Garamond" w:cstheme="majorBidi"/>
          </w:rPr>
        </w:pPr>
        <w:r>
          <w:rPr>
            <w:rFonts w:ascii="Garamond" w:hAnsi="Garamond" w:cstheme="majorBidi"/>
            <w:b/>
            <w:bCs/>
            <w:noProof/>
            <w14:ligatures w14:val="standardContextual"/>
          </w:rPr>
          <mc:AlternateContent>
            <mc:Choice Requires="wps">
              <w:drawing>
                <wp:anchor distT="0" distB="0" distL="114300" distR="114300" simplePos="0" relativeHeight="251659264" behindDoc="0" locked="0" layoutInCell="1" allowOverlap="1" wp14:anchorId="5DDB3D7C" wp14:editId="44C8F42E">
                  <wp:simplePos x="0" y="0"/>
                  <wp:positionH relativeFrom="column">
                    <wp:posOffset>-102235</wp:posOffset>
                  </wp:positionH>
                  <wp:positionV relativeFrom="paragraph">
                    <wp:posOffset>133985</wp:posOffset>
                  </wp:positionV>
                  <wp:extent cx="0" cy="546100"/>
                  <wp:effectExtent l="0" t="0" r="38100" b="25400"/>
                  <wp:wrapNone/>
                  <wp:docPr id="961241986" name="Straight Connector 1"/>
                  <wp:cNvGraphicFramePr/>
                  <a:graphic xmlns:a="http://schemas.openxmlformats.org/drawingml/2006/main">
                    <a:graphicData uri="http://schemas.microsoft.com/office/word/2010/wordprocessingShape">
                      <wps:wsp>
                        <wps:cNvCnPr/>
                        <wps:spPr>
                          <a:xfrm>
                            <a:off x="0" y="0"/>
                            <a:ext cx="0" cy="546100"/>
                          </a:xfrm>
                          <a:prstGeom prst="line">
                            <a:avLst/>
                          </a:prstGeom>
                          <a:ln>
                            <a:solidFill>
                              <a:srgbClr val="C0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DF1CB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5pt,10.55pt" to="-8.0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" strokecolor="#c00000" strokeweight="1.5pt">
                  <v:stroke joinstyle="miter"/>
                </v:line>
              </w:pict>
            </mc:Fallback>
          </mc:AlternateContent>
        </w:r>
      </w:p>
      <w:p w14:paraId="6B1798FF" w14:textId="1AB9C50B" w:rsidR="00AF62FA" w:rsidRPr="00AF62FA" w:rsidRDefault="00AF62FA" w:rsidP="00AF62FA">
        <w:pPr>
          <w:pStyle w:val="Footer"/>
          <w:tabs>
            <w:tab w:val="center" w:pos="4153"/>
            <w:tab w:val="right" w:pos="8306"/>
          </w:tabs>
          <w:rPr>
            <w:rFonts w:ascii="Garamond" w:hAnsi="Garamond" w:cstheme="majorBidi"/>
            <w:b/>
            <w:bCs/>
          </w:rPr>
        </w:pPr>
        <w:r w:rsidRPr="00AF62FA">
          <w:rPr>
            <w:rFonts w:ascii="Garamond" w:hAnsi="Garamond" w:cstheme="majorBidi"/>
            <w:b/>
            <w:bCs/>
          </w:rPr>
          <w:fldChar w:fldCharType="begin"/>
        </w:r>
        <w:r w:rsidRPr="00AF62FA">
          <w:rPr>
            <w:rFonts w:ascii="Garamond" w:hAnsi="Garamond" w:cstheme="majorBidi"/>
            <w:b/>
            <w:bCs/>
          </w:rPr>
          <w:instrText xml:space="preserve"> PAGE   \* MERGEFORMAT </w:instrText>
        </w:r>
        <w:r w:rsidRPr="00AF62FA">
          <w:rPr>
            <w:rFonts w:ascii="Garamond" w:hAnsi="Garamond" w:cstheme="majorBidi"/>
            <w:b/>
            <w:bCs/>
          </w:rPr>
          <w:fldChar w:fldCharType="separate"/>
        </w:r>
        <w:r w:rsidRPr="00AF62FA">
          <w:rPr>
            <w:rFonts w:ascii="Garamond" w:hAnsi="Garamond" w:cstheme="majorBidi"/>
            <w:b/>
            <w:bCs/>
          </w:rPr>
          <w:t>1</w:t>
        </w:r>
        <w:r w:rsidRPr="00AF62FA">
          <w:rPr>
            <w:rFonts w:ascii="Garamond" w:hAnsi="Garamond" w:cstheme="majorBidi"/>
            <w:b/>
            <w:bCs/>
          </w:rPr>
          <w:fldChar w:fldCharType="end"/>
        </w:r>
      </w:p>
      <w:p w14:paraId="49BFBB31" w14:textId="1A2F6BA9" w:rsidR="00AF62FA" w:rsidRPr="00AF62FA" w:rsidRDefault="00F61EEC" w:rsidP="00AF62FA">
        <w:pPr>
          <w:pStyle w:val="Footer"/>
          <w:rPr>
            <w:rFonts w:ascii="Garamond" w:hAnsi="Garamond" w:cstheme="majorBidi"/>
          </w:rPr>
        </w:pPr>
        <w:r w:rsidRPr="00F61EEC">
          <w:rPr>
            <w:rFonts w:ascii="Garamond" w:hAnsi="Garamond" w:cstheme="majorBidi"/>
          </w:rPr>
          <w:t>Religion : Jurnal Agama, Sosial, dan Budaya</w:t>
        </w:r>
        <w:r>
          <w:rPr>
            <w:rFonts w:ascii="Garamond" w:hAnsi="Garamond" w:cstheme="majorBidi"/>
          </w:rPr>
          <w:t xml:space="preserve"> </w:t>
        </w:r>
        <w:r w:rsidR="00AF62FA" w:rsidRPr="00AF62FA">
          <w:rPr>
            <w:rFonts w:ascii="Garamond" w:hAnsi="Garamond" w:cstheme="majorBidi"/>
          </w:rPr>
          <w:t>Vol. 3, No. 1</w:t>
        </w:r>
      </w:p>
      <w:p w14:paraId="02536DF6" w14:textId="5344FAB9" w:rsidR="00AF62FA" w:rsidRPr="00AF62FA" w:rsidRDefault="00AF62FA" w:rsidP="00AF62FA">
        <w:pPr>
          <w:pStyle w:val="Footer"/>
          <w:rPr>
            <w:rFonts w:ascii="Garamond" w:hAnsi="Garamond" w:cstheme="majorBidi"/>
          </w:rPr>
        </w:pPr>
        <w:r w:rsidRPr="00AF62FA">
          <w:rPr>
            <w:rFonts w:ascii="Garamond" w:hAnsi="Garamond" w:cstheme="majorBidi"/>
          </w:rPr>
          <w:t xml:space="preserve">Januari – </w:t>
        </w:r>
        <w:r w:rsidR="00F61EEC">
          <w:rPr>
            <w:rFonts w:ascii="Garamond" w:hAnsi="Garamond" w:cstheme="majorBidi"/>
          </w:rPr>
          <w:t>Februari</w:t>
        </w:r>
        <w:r w:rsidRPr="00AF62FA">
          <w:rPr>
            <w:rFonts w:ascii="Garamond" w:hAnsi="Garamond" w:cstheme="majorBidi"/>
          </w:rPr>
          <w:t xml:space="preserve"> 2026</w:t>
        </w:r>
        <w:r w:rsidRPr="00AF62FA">
          <w:rPr>
            <w:rFonts w:ascii="Garamond" w:hAnsi="Garamond" w:cstheme="majorBidi"/>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6290" w14:textId="77777777" w:rsidR="000038EE" w:rsidRDefault="000038EE" w:rsidP="00341E4C">
      <w:pPr>
        <w:spacing w:after="0" w:line="240" w:lineRule="auto"/>
      </w:pPr>
      <w:r>
        <w:separator/>
      </w:r>
    </w:p>
  </w:footnote>
  <w:footnote w:type="continuationSeparator" w:id="0">
    <w:p w14:paraId="6CBBF65D" w14:textId="77777777" w:rsidR="000038EE" w:rsidRDefault="000038EE" w:rsidP="00341E4C">
      <w:pPr>
        <w:spacing w:after="0" w:line="240" w:lineRule="auto"/>
      </w:pPr>
      <w:r>
        <w:continuationSeparator/>
      </w:r>
    </w:p>
  </w:footnote>
  <w:footnote w:id="1">
    <w:p w14:paraId="5BFB74E6" w14:textId="1BB0364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{"citationID":"mXmbKaBR","properties":{"formattedCitation":"Muhammad Latif Fauzi, {\\i{}Aligning Religious Law and State Law: Negotiating Legal Muslim Marriage in Pasuruan, East Java}, Leiden Studies in Islam and Society 18 (Boston: Brill, 2023).","plainCitation":"Muhammad Latif Fauzi, Aligning Religious Law and State Law: Negotiating Legal Muslim Marriage in Pasuruan, East Java, Leiden Studies in Islam and Society 18 (Boston: Brill, 2023).","dontUpdate":true,"noteIndex":1},"citationItems":[{"id":"D2g86WxE/ly8X1GNg","uris":["http://zotero.org/users/6729330/items/W7MJ4WS6"],"itemData":{"id":2954,"type":"book","abstract":"\"In Aligning Religious Law and State Law: Negotiating Legal Muslim Marriage in Pasuruan, East Java, Muhammad Latif Fauzi investigates the extent to which the Indonesian state has regulated Muslim marriage and how a local community in Pasuruan, East Java has dealt with the regulation and gets their marriages recognised by the state. Instead of reforming the marriage law which would only stir up controversies, the Indonesian government has used a citizens' rights approach to control marriage to guide people towards compliance with the state legal framework. The state officials in charge of marriage registration on the frontier levels are amenable to adopting a lenient approach towards regulations on marriage, which is the key to securing the functioning of state law\"--","call-number":"KNW2935.J38","collection-number":"18","collection-title":"Leiden Studies in Islam and Society","event-place":"Boston","ISBN":"978-90-04-51611-3","number-of-pages":"1","publisher":"Brill","publisher-place":"Boston","source":"Library of Congress ISBN","title":"Aligning Religious Law and State Law: Negotiating Legal Muslim Marriage in Pasuruan, East Java","title-short":"Aligning religious law and state law","author":[{"family":"Fauzi","given":"Muhammad Latif"}],"issued":{"date-parts":[["2023"]]}}}],"schema":"https://github.com/citation-style-language/schema/raw/master/csl-citation.json"} </w:instrText>
      </w:r>
      <w:r w:rsidRPr="00B51FD9">
        <w:rPr>
          <w:rFonts w:ascii="Garamond" w:hAnsi="Garamond"/>
        </w:rPr>
        <w:fldChar w:fldCharType="separate"/>
      </w:r>
      <w:r w:rsidRPr="00B51FD9">
        <w:rPr>
          <w:rFonts w:ascii="Garamond" w:hAnsi="Garamond" w:cs="Times New Roman"/>
        </w:rPr>
        <w:t xml:space="preserve">Muhammad Latif Fauzi, </w:t>
      </w:r>
      <w:r w:rsidRPr="00B51FD9">
        <w:rPr>
          <w:rFonts w:ascii="Garamond" w:hAnsi="Garamond" w:cs="Times New Roman"/>
          <w:i/>
          <w:iCs/>
        </w:rPr>
        <w:t>Aligning Religious Law and State Law: Negotiating Legal Muslim Marriage in Pasuruan, East Java</w:t>
      </w:r>
      <w:r w:rsidRPr="00B51FD9">
        <w:rPr>
          <w:rFonts w:ascii="Garamond" w:hAnsi="Garamond" w:cs="Times New Roman"/>
        </w:rPr>
        <w:t>, (Boston: Brill, 2023), 7.</w:t>
      </w:r>
      <w:r w:rsidRPr="00B51FD9">
        <w:rPr>
          <w:rFonts w:ascii="Garamond" w:hAnsi="Garamond"/>
        </w:rPr>
        <w:fldChar w:fldCharType="end"/>
      </w:r>
    </w:p>
  </w:footnote>
  <w:footnote w:id="2">
    <w:p w14:paraId="7CD80937" w14:textId="11978085"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{"citationID":"TP8tzDqa","properties":{"formattedCitation":"Fauzi, {\\i{}Aligning religious law and state law}, 9.","plainCitation":"Fauzi, Aligning religious law and state law, 9.","noteIndex":2},"citationItems":[{"id":"D2g86WxE/ly8X1GNg","uris":["http://zotero.org/users/6729330/items/W7MJ4WS6"],"itemData":{"id":2954,"type":"book","abstract":"\"In Aligning Religious Law and State Law: Negotiating Legal Muslim Marriage in Pasuruan, East Java, Muhammad Latif Fauzi investigates the extent to which the Indonesian state has regulated Muslim marriage and how a local community in Pasuruan, East Java has dealt with the regulation and gets their marriages recognised by the state. Instead of reforming the marriage law which would only stir up controversies, the Indonesian government has used a citizens' rights approach to control marriage to guide people towards compliance with the state legal framework. The state officials in charge of marriage registration on the frontier levels are amenable to adopting a lenient approach towards regulations on marriage, which is the key to securing the functioning of state law\"--","call-number":"KNW2935.J38","collection-number":"18","collection-title":"Leiden Studies in Islam and Society","event-place":"Boston","ISBN":"978-90-04-51611-3","number-of-pages":"1","publisher":"Brill","publisher-place":"Boston","source":"Library of Congress ISBN","title":"Aligning Religious Law and State Law: Negotiating Legal Muslim Marriage in Pasuruan, East Java","title-short":"Aligning religious law and state law","author":[{"family":"Fauzi","given":"Muhammad Latif"}],"issued":{"date-parts":[["2023"]]}},"locator":"9","label":"page"}],"schema":"https://github.com/citation-style-language/schema/raw/master/csl-citation.json"}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Fauzi, </w:t>
      </w:r>
      <w:r w:rsidRPr="00AF62FA">
        <w:rPr>
          <w:rFonts w:ascii="Garamond" w:hAnsi="Garamond" w:cs="Times New Roman"/>
          <w:i/>
          <w:iCs/>
        </w:rPr>
        <w:t>Aligning religious law and state law</w:t>
      </w:r>
      <w:r w:rsidRPr="00AF62FA">
        <w:rPr>
          <w:rFonts w:ascii="Garamond" w:hAnsi="Garamond" w:cs="Times New Roman"/>
        </w:rPr>
        <w:t>, 9.</w:t>
      </w:r>
      <w:r w:rsidRPr="00B51FD9">
        <w:rPr>
          <w:rFonts w:ascii="Garamond" w:hAnsi="Garamond"/>
        </w:rPr>
        <w:fldChar w:fldCharType="end"/>
      </w:r>
    </w:p>
  </w:footnote>
  <w:footnote w:id="3">
    <w:p w14:paraId="5E4B7FCE" w14:textId="129E48BF"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{"citationID":"fHo3Srve","properties":{"formattedCitation":"Wahbah Al-Zu\\uc0\\u7717{}ail\\uc0\\u299{}, {\\i{}Al-Fiqh al-Islam\\uc0\\u299{} wa Adillatuhu}, 5 (D\\uc0\\u257{}r Al-Fikr, 1985), 8:125.","plainCitation":"Wahbah Al-Zu</w:instrText>
      </w:r>
      <w:r>
        <w:rPr>
          <w:rFonts w:ascii="Cambria" w:hAnsi="Cambria" w:cs="Cambria"/>
        </w:rPr>
        <w:instrText>ḥ</w:instrText>
      </w:r>
      <w:r>
        <w:rPr>
          <w:rFonts w:ascii="Garamond" w:hAnsi="Garamond"/>
        </w:rPr>
        <w:instrText>ailī, Al-Fiqh al-Islamī wa Adillatuhu, 5 (Dār Al-Fikr, 1985), 8:125.","noteIndex":3},"citationItems":[{"id":"D2g86WxE/ZeFTFiIP","uris":["http://zotero.org/users/6729330/items/79RNA5YK"],"itemData":{"id":260,"type":"book","collection-title":"5","event-place":"Damsyik","publisher":"Dār Al-Fikr","publisher-place":"Damsyik","title":"Al-Fiqh al-Islamī wa Adillatuhu","volume":"8","author":[{"family":"Al-Zu</w:instrText>
      </w:r>
      <w:r>
        <w:rPr>
          <w:rFonts w:ascii="Cambria" w:hAnsi="Cambria" w:cs="Cambria"/>
        </w:rPr>
        <w:instrText>ḥ</w:instrText>
      </w:r>
      <w:r>
        <w:rPr>
          <w:rFonts w:ascii="Garamond" w:hAnsi="Garamond"/>
        </w:rPr>
        <w:instrText xml:space="preserve">ailī","given":"Wahbah"}],"issued":{"date-parts":[["1985"]]}},"locator":"125","label":"page"}],"schema":"https://github.com/citation-style-language/schema/raw/master/csl-citation.json"} </w:instrText>
      </w:r>
      <w:r w:rsidRPr="00B51FD9">
        <w:rPr>
          <w:rFonts w:ascii="Garamond" w:hAnsi="Garamond"/>
        </w:rPr>
        <w:fldChar w:fldCharType="separate"/>
      </w:r>
      <w:r w:rsidRPr="00AF62FA">
        <w:rPr>
          <w:rFonts w:ascii="Times New Roman" w:hAnsi="Times New Roman" w:cs="Times New Roman"/>
        </w:rPr>
        <w:t xml:space="preserve">Wahbah Al-Zuḥailī, </w:t>
      </w:r>
      <w:r w:rsidRPr="00AF62FA">
        <w:rPr>
          <w:rFonts w:ascii="Times New Roman" w:hAnsi="Times New Roman" w:cs="Times New Roman"/>
          <w:i/>
          <w:iCs/>
        </w:rPr>
        <w:t>Al-Fiqh al-Islamī wa Adillatuhu</w:t>
      </w:r>
      <w:r w:rsidRPr="00AF62FA">
        <w:rPr>
          <w:rFonts w:ascii="Times New Roman" w:hAnsi="Times New Roman" w:cs="Times New Roman"/>
        </w:rPr>
        <w:t>, 5 (Dār Al-Fikr, 1985), 8:125.</w:t>
      </w:r>
      <w:r w:rsidRPr="00B51FD9">
        <w:rPr>
          <w:rFonts w:ascii="Garamond" w:hAnsi="Garamond"/>
        </w:rPr>
        <w:fldChar w:fldCharType="end"/>
      </w:r>
    </w:p>
  </w:footnote>
  <w:footnote w:id="4">
    <w:p w14:paraId="6C8ACC99" w14:textId="4EDEC269"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{"citationID":"tSFGFsHu","properties":{"formattedCitation":"Al-Zu\\uc0\\u7717{}ail\\uc0\\u299{}, {\\i{}Al-Fiqh al-Islam\\uc0\\u299{} wa Adillatuhu}, 8:127.","plainCitation":"Al-Zu</w:instrText>
      </w:r>
      <w:r>
        <w:rPr>
          <w:rFonts w:ascii="Cambria" w:hAnsi="Cambria" w:cs="Cambria"/>
        </w:rPr>
        <w:instrText>ḥ</w:instrText>
      </w:r>
      <w:r>
        <w:rPr>
          <w:rFonts w:ascii="Garamond" w:hAnsi="Garamond"/>
        </w:rPr>
        <w:instrText>ailī, Al-Fiqh al-Islamī wa Adillatuhu, 8:127.","noteIndex":4},"citationItems":[{"id":"D2g86WxE/ZeFTFiIP","uris":["http://zotero.org/users/6729330/items/79RNA5YK"],"itemData":{"id":260,"type":"book","collection-title":"5","event-place":"Damsyik","publisher":"Dār Al-Fikr","publisher-place":"Damsyik","title":"Al-Fiqh al-Islamī wa Adillatuhu","volume":"8","author":[{"family":"Al-Zu</w:instrText>
      </w:r>
      <w:r>
        <w:rPr>
          <w:rFonts w:ascii="Cambria" w:hAnsi="Cambria" w:cs="Cambria"/>
        </w:rPr>
        <w:instrText>ḥ</w:instrText>
      </w:r>
      <w:r>
        <w:rPr>
          <w:rFonts w:ascii="Garamond" w:hAnsi="Garamond"/>
        </w:rPr>
        <w:instrText xml:space="preserve">ailī","given":"Wahbah"}],"issued":{"date-parts":[["1985"]]}},"locator":"127","label":"page"}],"schema":"https://github.com/citation-style-language/schema/raw/master/csl-citation.json"} </w:instrText>
      </w:r>
      <w:r w:rsidRPr="00B51FD9">
        <w:rPr>
          <w:rFonts w:ascii="Garamond" w:hAnsi="Garamond"/>
        </w:rPr>
        <w:fldChar w:fldCharType="separate"/>
      </w:r>
      <w:r w:rsidRPr="00AF62FA">
        <w:rPr>
          <w:rFonts w:ascii="Times New Roman" w:hAnsi="Times New Roman" w:cs="Times New Roman"/>
        </w:rPr>
        <w:t xml:space="preserve">Al-Zuḥailī, </w:t>
      </w:r>
      <w:r w:rsidRPr="00AF62FA">
        <w:rPr>
          <w:rFonts w:ascii="Times New Roman" w:hAnsi="Times New Roman" w:cs="Times New Roman"/>
          <w:i/>
          <w:iCs/>
        </w:rPr>
        <w:t>Al-Fiqh al-Islamī wa Adillatuhu</w:t>
      </w:r>
      <w:r w:rsidRPr="00AF62FA">
        <w:rPr>
          <w:rFonts w:ascii="Times New Roman" w:hAnsi="Times New Roman" w:cs="Times New Roman"/>
        </w:rPr>
        <w:t>, 8:127.</w:t>
      </w:r>
      <w:r w:rsidRPr="00B51FD9">
        <w:rPr>
          <w:rFonts w:ascii="Garamond" w:hAnsi="Garamond"/>
        </w:rPr>
        <w:fldChar w:fldCharType="end"/>
      </w:r>
    </w:p>
  </w:footnote>
  <w:footnote w:id="5">
    <w:p w14:paraId="5F18AE9E" w14:textId="41F5CF3D"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{"citationID":"gx7C16Oa","properties":{"formattedCitation":"Abdulmajeed Hassan Bello, \\uc0\\u8220{}The Punishment for Adultery in Islamic Law and Its Application in Nigeria,\\uc0\\u8221{} {\\i{}Journal of Islamic Law and Culture} 13, no. 2\\uc0\\u8211{}3 (2011): 166\\uc0\\u8211{}82, https://doi.org/10.1080/1528817X.2012.733132.","plainCitation":"Abdulmajeed Hassan Bello, “The Punishment for Adultery in Islamic Law and Its Application in Nigeria,” Journal of Islamic Law and Culture 13, no. 2–3 (2011): 166–82, https://doi.org/10.1080/1528817X.2012.733132.","noteIndex":5},"citationItems":[{"id":"D2g86WxE/VkmMzCQH","uris":["http://zotero.org/users/6729330/items/EKEKQRR4"],"itemData":{"id":3461,"type":"article-journal","container-title":"Journal of Islamic Law and Culture","DOI":"10.1080/1528817X.2012.733132","ISSN":"1528-817X, 1753-4534","issue":"2-3","journalAbbreviation":"Journal of Islamic Law and Culture","language":"en","page":"166-182","source":"DOI.org (Crossref)","title":"The Punishment for Adultery in Islamic Law and its Application in Nigeria","volume":"13","author":[{"family":"Bello","given":"Abdulmajeed Hassan"}],"issued":{"date-parts":[["2011",10]]}}}],"schema":"https://github.com/citation-style-language/schema/raw/master/csl-citation.json"}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Abdulmajeed Hassan Bello, “The Punishment for Adultery in Islamic Law and Its Application in Nigeria,” </w:t>
      </w:r>
      <w:r w:rsidRPr="00AF62FA">
        <w:rPr>
          <w:rFonts w:ascii="Garamond" w:hAnsi="Garamond" w:cs="Times New Roman"/>
          <w:i/>
          <w:iCs/>
        </w:rPr>
        <w:t>Journal of Islamic Law and Culture</w:t>
      </w:r>
      <w:r w:rsidRPr="00AF62FA">
        <w:rPr>
          <w:rFonts w:ascii="Garamond" w:hAnsi="Garamond" w:cs="Times New Roman"/>
        </w:rPr>
        <w:t xml:space="preserve"> 13, no. 2–3 (2011): 166–82, https://doi.org/10.1080/1528817X.2012.733132.</w:t>
      </w:r>
      <w:r w:rsidRPr="00B51FD9">
        <w:rPr>
          <w:rFonts w:ascii="Garamond" w:hAnsi="Garamond"/>
        </w:rPr>
        <w:fldChar w:fldCharType="end"/>
      </w:r>
    </w:p>
  </w:footnote>
  <w:footnote w:id="6">
    <w:p w14:paraId="57896997" w14:textId="1E0FF513"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{"citationID":"u82gGE1G","properties":{"formattedCitation":"Muhammad Lutfi Hakim dan Khoiruddin Nasution, \\uc0\\u8220{}Accommodating Non-Muslim Rights: Legal Arguments and Legal Principles in the Islamic Jurisprudence of the Indonesian Supreme Court in the Post-New Order Era,\\uc0\\u8221{} {\\i{}Oxford Journal of Law and Religion} 11, no. 2\\uc0\\u8211{}3 (2023): 288\\uc0\\u8211{}313, https://doi.org/10.1093/ojlr/rwad004.","plainCitation":"Muhammad Lutfi Hakim dan Khoiruddin Nasution, “Accommodating Non-Muslim Rights: Legal Arguments and Legal Principles in the Islamic Jurisprudence of the Indonesian Supreme Court in the Post-New Order Era,” Oxford Journal of Law and Religion 11, no. 2–3 (2023): 288–313, https://doi.org/10.1093/ojlr/rwad004.","noteIndex":6},"citationItems":[{"id":"D2g86WxE/PAlNJv4n","uris":["http://zotero.org/users/6729330/items/NKANJTUC"],"itemData":{"id":3313,"type":"article-journal","abstract":"Abstract. Most Islamic legal literature describes non-Muslims as ‘second-class citizens’. They do not have equal rights to Muslims, particularly under Islamic i","container-title":"Oxford Journal of Law and Religion","DOI":"10.1093/ojlr/rwad004","ISSN":"2047-0770","issue":"2-3","journalAbbreviation":"Ox J Law Religion","language":"en","note":"publisher: Oxford Academic","page":"288-313","source":"academic.oup.com","title":"Accommodating Non-Muslim Rights: Legal Arguments and Legal Principles in the Islamic Jurisprudence of the Indonesian Supreme Court in the Post-New Order Era","title-short":"Accommodating Non-Muslim Rights","volume":"11","author":[{"family":"Hakim","given":"Muhammad Lutfi"},{"family":"Nasution","given":"Khoiruddin"}],"issued":{"date-parts":[["2023",7,25]]}}}],"schema":"https://github.com/citation-style-language/schema/raw/master/csl-citation.json"}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Muhammad Lutfi Hakim dan Khoiruddin Nasution, “Accommodating Non-Muslim Rights: Legal Arguments and Legal Principles in the Islamic Jurisprudence of the Indonesian Supreme Court in the Post-New Order Era,” </w:t>
      </w:r>
      <w:r w:rsidRPr="00AF62FA">
        <w:rPr>
          <w:rFonts w:ascii="Garamond" w:hAnsi="Garamond" w:cs="Times New Roman"/>
          <w:i/>
          <w:iCs/>
        </w:rPr>
        <w:t>Oxford Journal of Law and Religion</w:t>
      </w:r>
      <w:r w:rsidRPr="00AF62FA">
        <w:rPr>
          <w:rFonts w:ascii="Garamond" w:hAnsi="Garamond" w:cs="Times New Roman"/>
        </w:rPr>
        <w:t xml:space="preserve"> 11, no. 2–3 (2023): 288–313, https://doi.org/10.1093/ojlr/rwad004.</w:t>
      </w:r>
      <w:r w:rsidRPr="00B51FD9">
        <w:rPr>
          <w:rFonts w:ascii="Garamond" w:hAnsi="Garamond"/>
        </w:rPr>
        <w:fldChar w:fldCharType="end"/>
      </w:r>
    </w:p>
  </w:footnote>
  <w:footnote w:id="7">
    <w:p w14:paraId="669DBAA3" w14:textId="605AB697"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{"citationID":"i90neTJx","properties":{"formattedCitation":"National Commission on Violence against Women, \\uc0\\u8220{}Siaran Pers Komnas Perempuan Tentang Perkawinan Anak Merupakan Praktik Berbahaya (Harmful Practice) Yang Menghambat Indonesia Emas 2045,\\uc0\\u8221{} 3 Agustus 2021, https://komnasperempuan.go.id/siaran-pers-detail/siaran-pers-komnas-perempuan-tentang-perkawinan-anak-merupakan-praktik-berbahaya-harmful-practice-yang-menghambat-indonesia-emas-2045-3-agustus-2021.","plainCitation":"National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noteIndex":7},"citationItems":[{"id":"D2g86WxE/rtz5yGe2","uris":["http://zotero.org/users/6729330/items/S4QFND8H"],"itemData":{"id":3349,"type":"document","abstract":"Siaran Pers Komnas Perempuan Tentang","language":"en","title":"Siaran Pers Komnas Perempuan tentang Perkawinan Anak Merupakan Praktik Berbahaya (Harmful Practice) yang Menghambat Indonesia Emas 2045","URL":"https://komnasperempuan.go.id/siaran-pers-detail/siaran-pers-komnas-perempuan-tentang-perkawinan-anak-merupakan-praktik-berbahaya-harmful-practice-yang-menghambat-indonesia-emas-2045-3-agustus-2021","author":[{"family":"National Commission on Violence against Women","given":""}],"accessed":{"date-parts":[["2023",1,24]]},"issued":{"date-parts":[["2021",8,3]]}}}],"schema":"https://github.com/citation-style-language/schema/raw/master/csl-citation.json"} </w:instrText>
      </w:r>
      <w:r w:rsidRPr="00B51FD9">
        <w:rPr>
          <w:rFonts w:ascii="Garamond" w:hAnsi="Garamond"/>
        </w:rPr>
        <w:fldChar w:fldCharType="separate"/>
      </w:r>
      <w:r w:rsidRPr="00AF62FA">
        <w:rPr>
          <w:rFonts w:ascii="Garamond" w:hAnsi="Garamond" w:cs="Times New Roman"/>
        </w:rPr>
        <w:t>National Commission on Violence against Women, “Siaran Pers Komnas Perempuan Tentang Perkawinan Anak Merupakan Praktik Berbahaya (Harmful Practice) Yang Menghambat Indonesia Emas 2045,” 3 Agustus 2021, https://komnasperempuan.go.id/siaran-pers-detail/siaran-pers-komnas-perempuan-tentang-perkawinan-anak-merupakan-praktik-berbahaya-harmful-practice-yang-menghambat-indonesia-emas-2045-3-agustus-2021.</w:t>
      </w:r>
      <w:r w:rsidRPr="00B51FD9">
        <w:rPr>
          <w:rFonts w:ascii="Garamond" w:hAnsi="Garamond"/>
        </w:rPr>
        <w:fldChar w:fldCharType="end"/>
      </w:r>
    </w:p>
  </w:footnote>
  <w:footnote w:id="8">
    <w:p w14:paraId="3C8C787D" w14:textId="5FA1AAF5"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{"citationID":"PQq5k3Dy","properties":{"formattedCitation":"\\uc0\\u8220{}Marriage Law No. 1 of 1974,\\uc0\\u8221{} t.t., Article 1.","plainCitation":"“Marriage Law No. 1 of 1974,” t.t., Article 1.","noteIndex":8},"citationItems":[{"id":"D2g86WxE/pAWUV9M5","uris":["http://zotero.org/users/6729330/items/4ZDP5Q97"],"itemData":{"id":3011,"type":"document","title":"Marriage Law No. 1 of 1974"},"locator":"Article 1","label":"page"}],"schema":"https://github.com/citation-style-language/schema/raw/master/csl-citation.json"} </w:instrText>
      </w:r>
      <w:r w:rsidRPr="00B51FD9">
        <w:rPr>
          <w:rFonts w:ascii="Garamond" w:hAnsi="Garamond"/>
        </w:rPr>
        <w:fldChar w:fldCharType="separate"/>
      </w:r>
      <w:r w:rsidRPr="00AF62FA">
        <w:rPr>
          <w:rFonts w:ascii="Garamond" w:hAnsi="Garamond" w:cs="Times New Roman"/>
        </w:rPr>
        <w:t>“Marriage Law No. 1 of 1974,” t.t., Article 1.</w:t>
      </w:r>
      <w:r w:rsidRPr="00B51FD9">
        <w:rPr>
          <w:rFonts w:ascii="Garamond" w:hAnsi="Garamond"/>
        </w:rPr>
        <w:fldChar w:fldCharType="end"/>
      </w:r>
    </w:p>
  </w:footnote>
  <w:footnote w:id="9">
    <w:p w14:paraId="5176AB3E" w14:textId="42137680"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{"citationID":"GK8EgW0b","properties":{"formattedCitation":"\\uc0\\u8220{}Indonesian Constitutional Court Decision No. 30-74/PUU-XII/2014,\\uc0\\u8221{} t.t.","plainCitation":"“Indonesian Constitutional Court Decision No. 30-74/PUU-XII/2014,” t.t.","noteIndex":9},"citationItems":[{"id":"D2g86WxE/LsRKDG6B","uris":["http://zotero.org/users/6729330/items/Q4VZ4AV4"],"itemData":{"id":3396,"type":"document","title":"Indonesian Constitutional Court Decision No. 30-74/PUU-XII/2014"}}],"schema":"https://github.com/citation-style-language/schema/raw/master/csl-citation.json"} </w:instrText>
      </w:r>
      <w:r w:rsidRPr="00B51FD9">
        <w:rPr>
          <w:rFonts w:ascii="Garamond" w:hAnsi="Garamond"/>
        </w:rPr>
        <w:fldChar w:fldCharType="separate"/>
      </w:r>
      <w:r w:rsidRPr="00AF62FA">
        <w:rPr>
          <w:rFonts w:ascii="Garamond" w:hAnsi="Garamond" w:cs="Times New Roman"/>
        </w:rPr>
        <w:t>“Indonesian Constitutional Court Decision No. 30-74/PUU-XII/2014,” t.t.</w:t>
      </w:r>
      <w:r w:rsidRPr="00B51FD9">
        <w:rPr>
          <w:rFonts w:ascii="Garamond" w:hAnsi="Garamond"/>
        </w:rPr>
        <w:fldChar w:fldCharType="end"/>
      </w:r>
    </w:p>
  </w:footnote>
  <w:footnote w:id="10">
    <w:p w14:paraId="0733779D" w14:textId="4720F6B7"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{"citationID":"rMQFTAud","properties":{"formattedCitation":"Sri Sangdatun, \\uc0\\u8220{}Judge of the Wonosari Religious Court,\\uc0\\u8221{} 27 Oktober 2022.","plainCitation":"Sri Sangdatun, “Judge of the Wonosari Religious Court,” 27 Oktober 2022.","noteIndex":10},"citationItems":[{"id":"D2g86WxE/FoqHdDiU","uris":["http://zotero.org/users/6729330/items/BXI28XA9"],"itemData":{"id":3414,"type":"interview","title":"Judge of the Wonosari Religious Court","author":[{"family":"Sangdatun","given":"Sri"}],"issued":{"date-parts":[["2022",10,27]]}}}],"schema":"https://github.com/citation-style-language/schema/raw/master/csl-citation.json"} </w:instrText>
      </w:r>
      <w:r w:rsidRPr="00B51FD9">
        <w:rPr>
          <w:rFonts w:ascii="Garamond" w:hAnsi="Garamond"/>
        </w:rPr>
        <w:fldChar w:fldCharType="separate"/>
      </w:r>
      <w:r w:rsidRPr="00AF62FA">
        <w:rPr>
          <w:rFonts w:ascii="Garamond" w:hAnsi="Garamond" w:cs="Times New Roman"/>
        </w:rPr>
        <w:t>Sri Sangdatun, “Judge of the Wonosari Religious Court,” 27 Oktober 2022.</w:t>
      </w:r>
      <w:r w:rsidRPr="00B51FD9">
        <w:rPr>
          <w:rFonts w:ascii="Garamond" w:hAnsi="Garamond"/>
        </w:rPr>
        <w:fldChar w:fldCharType="end"/>
      </w:r>
    </w:p>
  </w:footnote>
  <w:footnote w:id="11">
    <w:p w14:paraId="794B0AD8" w14:textId="68287C4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{"citationID":"NCFLdSNq","properties":{"formattedCitation":"Bernard Adeney-Risakotta, \\uc0\\u8220{}Traditional, Islamic and National Law in the Experience of Indonesian Muslim Women,\\uc0\\u8221{} dalam {\\i{}Narratives of Muslim Womanhood and Women\\uc0\\u8217{}s Agency} (Routledge, 2018), https://doi.org/10.4324/9780203713129-6.","plainCitation":"Bernard Adeney-Risakotta, “Traditional, Islamic and National Law in the Experience of Indonesian Muslim Women,” dalam Narratives of Muslim Womanhood and Women’s Agency (Routledge, 2018), https://doi.org/10.4324/9780203713129-6.","noteIndex":11},"citationItems":[{"id":"D2g86WxE/aMAjgjri","uris":["http://zotero.org/users/6729330/items/MGEVECCF"],"itemData":{"id":3017,"type":"chapter","abstract":"This article examines how social imaginaries of women as equal in the public sphere, rooted in a long history, support gender equality. However, there is tension between national law, traditional (adat) law and Islamic law in the narratives of Indonesian Muslim women. In Indonesia, law is not conceived of as a universal boundary that may not be violated, but rather as a discursive tradition subject to negotiation depending on local conditions. In some parts of Indonesia, women are imagined as powerful agents who have often exercised leadership in society. In other parts, patriarchy is strongly entrenched. Law, and the imaginary of women, is in an ongoing process of transformation in response to the dynamic between modern education, global religious influences and traditional practices. Traditional law is grounded in the narratives of people within specific local ethnic groups and interacts with Islam and changing modern conditions to create unique local understandings of the role of women in society. National law in Indonesia often has less authority than religious and traditional law. Both the interpretation of law and the prevalence of women in positions of leadership are supported by imaginaries of women as powerful actors in the public sphere.","container-title":"Narratives of Muslim Womanhood and Women's Agency","event-place":"United Kingdom","ISBN":"978-0-203-71312-9","language":"en","note":"DOI: 10.4324/9780203713129-6","page":"82-97","publisher":"Routledge","publisher-place":"United Kingdom","source":"www.taylorfrancis.com","title":"Traditional, Islamic and National Law in the Experience of Indonesian Muslim Women","URL":"https://www.taylorfrancis.com/chapters/edit/10.4324/9780203713129-6/traditional-islamic-national-law-experience-indonesian-muslim-women-bernard-adeney-risakotta","author":[{"family":"Adeney-Risakotta","given":"Bernard"}],"accessed":{"date-parts":[["2023",8,1]]},"issued":{"date-parts":[["2018",10,16]]}}}],"schema":"https://github.com/citation-style-language/schema/raw/master/csl-citation.json"} </w:instrText>
      </w:r>
      <w:r w:rsidRPr="00B51FD9">
        <w:rPr>
          <w:rFonts w:ascii="Garamond" w:hAnsi="Garamond"/>
        </w:rPr>
        <w:fldChar w:fldCharType="separate"/>
      </w:r>
      <w:r w:rsidRPr="00AF62FA">
        <w:rPr>
          <w:rFonts w:ascii="Garamond" w:hAnsi="Garamond" w:cs="Times New Roman"/>
        </w:rPr>
        <w:t xml:space="preserve">Bernard Adeney-Risakotta, “Traditional, Islamic and National Law in the Experience of Indonesian Muslim Women,” dalam </w:t>
      </w:r>
      <w:r w:rsidRPr="00AF62FA">
        <w:rPr>
          <w:rFonts w:ascii="Garamond" w:hAnsi="Garamond" w:cs="Times New Roman"/>
          <w:i/>
          <w:iCs/>
        </w:rPr>
        <w:t>Narratives of Muslim Womanhood and Women’s Agency</w:t>
      </w:r>
      <w:r w:rsidRPr="00AF62FA">
        <w:rPr>
          <w:rFonts w:ascii="Garamond" w:hAnsi="Garamond" w:cs="Times New Roman"/>
        </w:rPr>
        <w:t xml:space="preserve"> (Routledge, 2018), https://doi.org/10.4324/9780203713129-6.</w:t>
      </w:r>
      <w:r w:rsidRPr="00B51FD9">
        <w:rPr>
          <w:rFonts w:ascii="Garamond" w:hAnsi="Garamond"/>
        </w:rPr>
        <w:fldChar w:fldCharType="end"/>
      </w:r>
    </w:p>
  </w:footnote>
  <w:footnote w:id="12">
    <w:p w14:paraId="49AD98BE" w14:textId="6F251B9B" w:rsidR="00AF62FA" w:rsidRPr="00B51FD9" w:rsidRDefault="00AF62FA" w:rsidP="00AF62FA">
      <w:pPr>
        <w:pStyle w:val="FootnoteText"/>
        <w:ind w:left="284" w:hanging="284"/>
        <w:jc w:val="both"/>
        <w:rPr>
          <w:rFonts w:ascii="Garamond" w:hAnsi="Garamond"/>
        </w:rPr>
      </w:pPr>
      <w:r w:rsidRPr="00B51FD9">
        <w:rPr>
          <w:rStyle w:val="FootnoteReference"/>
          <w:rFonts w:ascii="Garamond" w:hAnsi="Garamond"/>
        </w:rPr>
        <w:footnoteRef/>
      </w:r>
      <w:r w:rsidRPr="00B51FD9">
        <w:rPr>
          <w:rFonts w:ascii="Garamond" w:hAnsi="Garamond"/>
        </w:rPr>
        <w:t xml:space="preserve"> </w:t>
      </w:r>
      <w:r w:rsidRPr="00B51FD9">
        <w:rPr>
          <w:rFonts w:ascii="Garamond" w:hAnsi="Garamond"/>
        </w:rPr>
        <w:tab/>
      </w:r>
      <w:r w:rsidRPr="00B51FD9">
        <w:rPr>
          <w:rFonts w:ascii="Garamond" w:hAnsi="Garamond"/>
        </w:rPr>
        <w:fldChar w:fldCharType="begin"/>
      </w:r>
      <w:r>
        <w:rPr>
          <w:rFonts w:ascii="Garamond" w:hAnsi="Garamond"/>
        </w:rPr>
        <w:instrText xml:space="preserve"> ADDIN ZOTERO_ITEM CSL_CITATION {"citationID":"JtAqRMvt","properties":{"formattedCitation":"Ratno Lukito, \\uc0\\u8220{}Islamic Law and Adat Encounter: The Experience of Indonesia\\uc0\\u8221{} (McGill University, 1997), https://escholarship.mcgill.ca/concern/theses/bz60cz53m?locale=en.","plainCitation":"Ratno Lukito, “Islamic Law and Adat Encounter: The Experience of Indonesia” (McGill University, 1997), https://escholarship.mcgill.ca/concern/theses/bz60cz53m?locale=en.","noteIndex":12},"citationItems":[{"id":"D2g86WxE/3pDzj4Y8","uris":["http://zotero.org/users/6729330/items/UGUCV2XT"],"itemData":{"id":3015,"type":"thesis","event-place":"Canada","language":"en","note":"publisher: McGill University","publisher":"McGill University","publisher-place":"Canada","source":"escholarship.mcgill.ca","title":"Islamic Law and Adat Encounter: The Experience of Indonesia","title-short":"Islamic Law and Adat Encounter","URL":"https://escholarship.mcgill.ca/concern/theses/bz60cz53m?locale=en","author":[{"family":"Lukito","given":"Ratno"}],"accessed":{"date-parts":[["2023",8,1]]},"issued":{"date-parts":[["1997"]]}}}],"schema":"https://github.com/citation-style-language/schema/raw/master/csl-citation.json"} </w:instrText>
      </w:r>
      <w:r w:rsidRPr="00B51FD9">
        <w:rPr>
          <w:rFonts w:ascii="Garamond" w:hAnsi="Garamond"/>
        </w:rPr>
        <w:fldChar w:fldCharType="separate"/>
      </w:r>
      <w:r w:rsidRPr="00AF62FA">
        <w:rPr>
          <w:rFonts w:ascii="Garamond" w:hAnsi="Garamond" w:cs="Times New Roman"/>
        </w:rPr>
        <w:t>Ratno Lukito, “Islamic Law and Adat Encounter: The Experience of Indonesia” (McGill University, 1997), https://escholarship.mcgill.ca/concern/theses/bz60cz53m?locale=en.</w:t>
      </w:r>
      <w:r w:rsidRPr="00B51FD9">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0F6A" w14:textId="39D0EED8" w:rsidR="00AF62FA" w:rsidRPr="00B11E90" w:rsidRDefault="001F62E6" w:rsidP="00B11E90">
    <w:pPr>
      <w:pStyle w:val="Header"/>
      <w:jc w:val="both"/>
      <w:rPr>
        <w:rFonts w:ascii="Garamond" w:hAnsi="Garamond"/>
        <w:sz w:val="20"/>
        <w:szCs w:val="20"/>
      </w:rPr>
    </w:pPr>
    <w:r>
      <w:rPr>
        <w:rFonts w:ascii="Garamond" w:hAnsi="Garamond"/>
        <w:b/>
        <w:bCs/>
        <w:sz w:val="20"/>
        <w:szCs w:val="20"/>
      </w:rPr>
      <w:t>Penulis Pertama, Penulis Kedua, Penulis Ketiga, Penulis Keempat</w:t>
    </w:r>
    <w:r w:rsidR="00AF62FA" w:rsidRPr="00B11E90">
      <w:rPr>
        <w:rFonts w:ascii="Garamond" w:hAnsi="Garamond"/>
        <w:sz w:val="20"/>
        <w:szCs w:val="20"/>
      </w:rPr>
      <w:t xml:space="preserve">: </w:t>
    </w:r>
    <w:r w:rsidRPr="001F62E6">
      <w:rPr>
        <w:rFonts w:ascii="Garamond" w:hAnsi="Garamond"/>
        <w:sz w:val="20"/>
        <w:szCs w:val="20"/>
      </w:rPr>
      <w:t>Judul Artikel: Tulis Satu Kalimat yang Menjelaskan Isi Artikel; Maksimum 15 Kata; Gunakan Rata ke Kiri; Gunakan Huruf Tebal; Gunakan Huruf Kapital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954"/>
      <w:gridCol w:w="1411"/>
    </w:tblGrid>
    <w:tr w:rsidR="0095091E" w:rsidRPr="00341E4C" w14:paraId="2CF788BF" w14:textId="77777777" w:rsidTr="006B35F2">
      <w:tc>
        <w:tcPr>
          <w:tcW w:w="1129" w:type="dxa"/>
          <w:tcBorders>
            <w:top w:val="double" w:sz="6" w:space="0" w:color="auto"/>
            <w:bottom w:val="double" w:sz="6" w:space="0" w:color="auto"/>
          </w:tcBorders>
        </w:tcPr>
        <w:p w14:paraId="0AB4EA14" w14:textId="2162D0D6" w:rsidR="0095091E" w:rsidRPr="00341E4C" w:rsidRDefault="00F61EEC" w:rsidP="0095091E">
          <w:pPr>
            <w:pStyle w:val="Header"/>
            <w:rPr>
              <w:rFonts w:ascii="Garamond" w:hAnsi="Garamond"/>
            </w:rPr>
          </w:pPr>
          <w:r w:rsidRPr="00F61EEC">
            <w:rPr>
              <w:rFonts w:ascii="Garamond" w:eastAsia="Garamond" w:hAnsi="Garamond" w:cs="Garamond"/>
              <w:b/>
              <w:sz w:val="24"/>
              <w:szCs w:val="24"/>
            </w:rPr>
            <w:drawing>
              <wp:inline distT="0" distB="0" distL="0" distR="0" wp14:anchorId="56222A5A" wp14:editId="61374BC6">
                <wp:extent cx="562332" cy="773868"/>
                <wp:effectExtent l="0" t="0" r="9525" b="7620"/>
                <wp:docPr id="1661295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95945" name=""/>
                        <pic:cNvPicPr/>
                      </pic:nvPicPr>
                      <pic:blipFill>
                        <a:blip r:embed="rId1">
                          <a:extLst>
                            <a:ext uri="{28A0092B-C50C-407E-A947-70E740481C1C}">
                              <a14:useLocalDpi xmlns:a14="http://schemas.microsoft.com/office/drawing/2010/main" val="0"/>
                            </a:ext>
                          </a:extLst>
                        </a:blip>
                        <a:stretch>
                          <a:fillRect/>
                        </a:stretch>
                      </pic:blipFill>
                      <pic:spPr>
                        <a:xfrm>
                          <a:off x="0" y="0"/>
                          <a:ext cx="575314" cy="791734"/>
                        </a:xfrm>
                        <a:prstGeom prst="rect">
                          <a:avLst/>
                        </a:prstGeom>
                      </pic:spPr>
                    </pic:pic>
                  </a:graphicData>
                </a:graphic>
              </wp:inline>
            </w:drawing>
          </w:r>
        </w:p>
      </w:tc>
      <w:tc>
        <w:tcPr>
          <w:tcW w:w="5954" w:type="dxa"/>
          <w:tcBorders>
            <w:top w:val="double" w:sz="6" w:space="0" w:color="auto"/>
            <w:bottom w:val="double" w:sz="6" w:space="0" w:color="auto"/>
          </w:tcBorders>
          <w:vAlign w:val="center"/>
        </w:tcPr>
        <w:p w14:paraId="5984B869" w14:textId="3A590BB9" w:rsidR="0095091E" w:rsidRPr="000F5EBF" w:rsidRDefault="00F61EEC" w:rsidP="00F61EEC">
          <w:pPr>
            <w:jc w:val="center"/>
            <w:rPr>
              <w:rFonts w:ascii="Garamond" w:hAnsi="Garamond"/>
              <w:b/>
              <w:bCs/>
              <w:sz w:val="24"/>
              <w:szCs w:val="24"/>
            </w:rPr>
          </w:pPr>
          <w:r w:rsidRPr="00F61EEC">
            <w:rPr>
              <w:rFonts w:ascii="Garamond" w:hAnsi="Garamond"/>
              <w:b/>
              <w:bCs/>
              <w:sz w:val="24"/>
              <w:szCs w:val="24"/>
            </w:rPr>
            <w:t>Religion : Jurnal Agama, Sosial, dan Budaya</w:t>
          </w:r>
        </w:p>
        <w:p w14:paraId="53A3885C" w14:textId="5A5398DE" w:rsidR="0095091E" w:rsidRPr="000F5EBF" w:rsidRDefault="0095091E" w:rsidP="0095091E">
          <w:pPr>
            <w:jc w:val="center"/>
            <w:rPr>
              <w:rFonts w:ascii="Garamond" w:hAnsi="Garamond"/>
              <w:sz w:val="24"/>
              <w:szCs w:val="24"/>
            </w:rPr>
          </w:pPr>
          <w:r w:rsidRPr="000F5EBF">
            <w:rPr>
              <w:rFonts w:ascii="Garamond" w:hAnsi="Garamond"/>
              <w:sz w:val="24"/>
              <w:szCs w:val="24"/>
            </w:rPr>
            <w:t xml:space="preserve">Vol. 3 No. 1 Januari - </w:t>
          </w:r>
          <w:r w:rsidR="00F61EEC">
            <w:rPr>
              <w:rFonts w:ascii="Garamond" w:hAnsi="Garamond"/>
              <w:sz w:val="24"/>
              <w:szCs w:val="24"/>
            </w:rPr>
            <w:t>Februari</w:t>
          </w:r>
          <w:r w:rsidRPr="000F5EBF">
            <w:rPr>
              <w:rFonts w:ascii="Garamond" w:hAnsi="Garamond"/>
              <w:sz w:val="24"/>
              <w:szCs w:val="24"/>
            </w:rPr>
            <w:t xml:space="preserve"> 2026</w:t>
          </w:r>
        </w:p>
        <w:p w14:paraId="43B300B2" w14:textId="6281FE99" w:rsidR="0095091E" w:rsidRPr="000F5EBF" w:rsidRDefault="00F61EEC" w:rsidP="0095091E">
          <w:pPr>
            <w:jc w:val="center"/>
            <w:rPr>
              <w:rFonts w:ascii="Garamond" w:hAnsi="Garamond"/>
              <w:sz w:val="24"/>
              <w:szCs w:val="24"/>
            </w:rPr>
          </w:pPr>
          <w:hyperlink r:id="rId2" w:history="1">
            <w:r w:rsidRPr="0094680B">
              <w:rPr>
                <w:rStyle w:val="Hyperlink"/>
                <w:rFonts w:ascii="Garamond" w:hAnsi="Garamond"/>
                <w:sz w:val="24"/>
                <w:szCs w:val="24"/>
              </w:rPr>
              <w:t>https://maryamsejahtera.com/index.php/Religion</w:t>
            </w:r>
          </w:hyperlink>
          <w:r>
            <w:rPr>
              <w:rFonts w:ascii="Garamond" w:hAnsi="Garamond"/>
              <w:sz w:val="24"/>
              <w:szCs w:val="24"/>
            </w:rPr>
            <w:t xml:space="preserve"> </w:t>
          </w:r>
        </w:p>
        <w:p w14:paraId="452E8D3F" w14:textId="77777777" w:rsidR="0095091E" w:rsidRPr="000F5EBF" w:rsidRDefault="0095091E" w:rsidP="0095091E">
          <w:pPr>
            <w:pStyle w:val="Header"/>
            <w:jc w:val="center"/>
            <w:rPr>
              <w:rFonts w:ascii="Garamond" w:hAnsi="Garamond"/>
              <w:sz w:val="24"/>
              <w:szCs w:val="24"/>
            </w:rPr>
          </w:pPr>
          <w:r w:rsidRPr="000F5EBF">
            <w:rPr>
              <w:rFonts w:ascii="Garamond" w:hAnsi="Garamond"/>
              <w:sz w:val="24"/>
              <w:szCs w:val="24"/>
            </w:rPr>
            <w:t>DOI : 10.61590/int.v3i01.257</w:t>
          </w:r>
        </w:p>
      </w:tc>
      <w:tc>
        <w:tcPr>
          <w:tcW w:w="1411" w:type="dxa"/>
          <w:tcBorders>
            <w:top w:val="double" w:sz="6" w:space="0" w:color="auto"/>
            <w:bottom w:val="double" w:sz="6" w:space="0" w:color="auto"/>
          </w:tcBorders>
          <w:vAlign w:val="center"/>
        </w:tcPr>
        <w:p w14:paraId="25ED88E6" w14:textId="77777777" w:rsidR="0095091E" w:rsidRPr="000F5EBF" w:rsidRDefault="0095091E" w:rsidP="0095091E">
          <w:pPr>
            <w:pStyle w:val="Header"/>
            <w:jc w:val="center"/>
            <w:rPr>
              <w:rFonts w:ascii="Garamond" w:hAnsi="Garamond"/>
            </w:rPr>
          </w:pPr>
          <w:r w:rsidRPr="000F5EBF">
            <w:rPr>
              <w:rFonts w:ascii="Garamond" w:hAnsi="Garamond"/>
            </w:rPr>
            <w:t>P-ISSN</w:t>
          </w:r>
        </w:p>
        <w:p w14:paraId="24A99F52" w14:textId="3B8D363E" w:rsidR="0095091E" w:rsidRPr="000F5EBF" w:rsidRDefault="0095091E" w:rsidP="0095091E">
          <w:pPr>
            <w:pStyle w:val="Header"/>
            <w:jc w:val="center"/>
            <w:rPr>
              <w:rFonts w:ascii="Garamond" w:hAnsi="Garamond"/>
            </w:rPr>
          </w:pPr>
          <w:r w:rsidRPr="000F5EBF">
            <w:rPr>
              <w:rFonts w:ascii="Garamond" w:hAnsi="Garamond"/>
            </w:rPr>
            <w:t>2962-</w:t>
          </w:r>
          <w:r w:rsidR="00F61EEC">
            <w:rPr>
              <w:rFonts w:ascii="Garamond" w:hAnsi="Garamond"/>
            </w:rPr>
            <w:t>6560</w:t>
          </w:r>
        </w:p>
        <w:p w14:paraId="1A51D65F" w14:textId="77777777" w:rsidR="0095091E" w:rsidRPr="000F5EBF" w:rsidRDefault="0095091E" w:rsidP="0095091E">
          <w:pPr>
            <w:pStyle w:val="Header"/>
            <w:jc w:val="center"/>
            <w:rPr>
              <w:rFonts w:ascii="Garamond" w:hAnsi="Garamond"/>
              <w:sz w:val="8"/>
              <w:szCs w:val="8"/>
            </w:rPr>
          </w:pPr>
        </w:p>
        <w:p w14:paraId="5099BC39" w14:textId="77777777" w:rsidR="0095091E" w:rsidRPr="000F5EBF" w:rsidRDefault="0095091E" w:rsidP="0095091E">
          <w:pPr>
            <w:pStyle w:val="Header"/>
            <w:jc w:val="center"/>
            <w:rPr>
              <w:rFonts w:ascii="Garamond" w:hAnsi="Garamond"/>
            </w:rPr>
          </w:pPr>
          <w:r w:rsidRPr="000F5EBF">
            <w:rPr>
              <w:rFonts w:ascii="Garamond" w:hAnsi="Garamond"/>
            </w:rPr>
            <w:t>E-ISSN</w:t>
          </w:r>
        </w:p>
        <w:p w14:paraId="34D6BC03" w14:textId="7621470D" w:rsidR="0095091E" w:rsidRPr="000F5EBF" w:rsidRDefault="00F61EEC" w:rsidP="0095091E">
          <w:pPr>
            <w:pStyle w:val="Header"/>
            <w:jc w:val="center"/>
            <w:rPr>
              <w:rFonts w:ascii="Garamond" w:hAnsi="Garamond"/>
              <w:sz w:val="24"/>
              <w:szCs w:val="24"/>
            </w:rPr>
          </w:pPr>
          <w:r>
            <w:rPr>
              <w:rFonts w:ascii="Garamond" w:hAnsi="Garamond"/>
            </w:rPr>
            <w:t>2963</w:t>
          </w:r>
          <w:r w:rsidR="0095091E" w:rsidRPr="000F5EBF">
            <w:rPr>
              <w:rFonts w:ascii="Garamond" w:hAnsi="Garamond"/>
            </w:rPr>
            <w:t>-</w:t>
          </w:r>
          <w:r>
            <w:rPr>
              <w:rFonts w:ascii="Garamond" w:hAnsi="Garamond"/>
            </w:rPr>
            <w:t>7139</w:t>
          </w:r>
        </w:p>
      </w:tc>
    </w:tr>
  </w:tbl>
  <w:p w14:paraId="630C08F1" w14:textId="77777777" w:rsidR="0095091E" w:rsidRPr="0095091E" w:rsidRDefault="0095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A7400"/>
    <w:multiLevelType w:val="hybridMultilevel"/>
    <w:tmpl w:val="9F8672E4"/>
    <w:lvl w:ilvl="0" w:tplc="09323CD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7E7F7A"/>
    <w:multiLevelType w:val="hybridMultilevel"/>
    <w:tmpl w:val="899456F0"/>
    <w:lvl w:ilvl="0" w:tplc="C4602FE4">
      <w:start w:val="1"/>
      <w:numFmt w:val="decimal"/>
      <w:pStyle w:val="5Judul-1"/>
      <w:lvlText w:val="%1)"/>
      <w:lvlJc w:val="left"/>
      <w:pPr>
        <w:ind w:left="2498" w:hanging="360"/>
      </w:pPr>
      <w:rPr>
        <w:rFonts w:hint="default"/>
      </w:rPr>
    </w:lvl>
    <w:lvl w:ilvl="1" w:tplc="38090019" w:tentative="1">
      <w:start w:val="1"/>
      <w:numFmt w:val="lowerLetter"/>
      <w:lvlText w:val="%2."/>
      <w:lvlJc w:val="left"/>
      <w:pPr>
        <w:ind w:left="3218" w:hanging="360"/>
      </w:pPr>
    </w:lvl>
    <w:lvl w:ilvl="2" w:tplc="3809001B" w:tentative="1">
      <w:start w:val="1"/>
      <w:numFmt w:val="lowerRoman"/>
      <w:lvlText w:val="%3."/>
      <w:lvlJc w:val="right"/>
      <w:pPr>
        <w:ind w:left="3938" w:hanging="180"/>
      </w:pPr>
    </w:lvl>
    <w:lvl w:ilvl="3" w:tplc="3809000F" w:tentative="1">
      <w:start w:val="1"/>
      <w:numFmt w:val="decimal"/>
      <w:lvlText w:val="%4."/>
      <w:lvlJc w:val="left"/>
      <w:pPr>
        <w:ind w:left="4658" w:hanging="360"/>
      </w:pPr>
    </w:lvl>
    <w:lvl w:ilvl="4" w:tplc="38090019" w:tentative="1">
      <w:start w:val="1"/>
      <w:numFmt w:val="lowerLetter"/>
      <w:lvlText w:val="%5."/>
      <w:lvlJc w:val="left"/>
      <w:pPr>
        <w:ind w:left="5378" w:hanging="360"/>
      </w:pPr>
    </w:lvl>
    <w:lvl w:ilvl="5" w:tplc="3809001B" w:tentative="1">
      <w:start w:val="1"/>
      <w:numFmt w:val="lowerRoman"/>
      <w:lvlText w:val="%6."/>
      <w:lvlJc w:val="right"/>
      <w:pPr>
        <w:ind w:left="6098" w:hanging="180"/>
      </w:pPr>
    </w:lvl>
    <w:lvl w:ilvl="6" w:tplc="3809000F" w:tentative="1">
      <w:start w:val="1"/>
      <w:numFmt w:val="decimal"/>
      <w:lvlText w:val="%7."/>
      <w:lvlJc w:val="left"/>
      <w:pPr>
        <w:ind w:left="6818" w:hanging="360"/>
      </w:pPr>
    </w:lvl>
    <w:lvl w:ilvl="7" w:tplc="38090019" w:tentative="1">
      <w:start w:val="1"/>
      <w:numFmt w:val="lowerLetter"/>
      <w:lvlText w:val="%8."/>
      <w:lvlJc w:val="left"/>
      <w:pPr>
        <w:ind w:left="7538" w:hanging="360"/>
      </w:pPr>
    </w:lvl>
    <w:lvl w:ilvl="8" w:tplc="3809001B" w:tentative="1">
      <w:start w:val="1"/>
      <w:numFmt w:val="lowerRoman"/>
      <w:lvlText w:val="%9."/>
      <w:lvlJc w:val="right"/>
      <w:pPr>
        <w:ind w:left="8258" w:hanging="180"/>
      </w:pPr>
    </w:lvl>
  </w:abstractNum>
  <w:abstractNum w:abstractNumId="2" w15:restartNumberingAfterBreak="0">
    <w:nsid w:val="3D3E3145"/>
    <w:multiLevelType w:val="hybridMultilevel"/>
    <w:tmpl w:val="A5AC2912"/>
    <w:lvl w:ilvl="0" w:tplc="F3DE19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C8727CD"/>
    <w:multiLevelType w:val="hybridMultilevel"/>
    <w:tmpl w:val="A37E90AC"/>
    <w:lvl w:ilvl="0" w:tplc="C3FE7AE6">
      <w:start w:val="1"/>
      <w:numFmt w:val="lowerLetter"/>
      <w:pStyle w:val="4Judul-a"/>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4" w15:restartNumberingAfterBreak="0">
    <w:nsid w:val="56CC135A"/>
    <w:multiLevelType w:val="hybridMultilevel"/>
    <w:tmpl w:val="650CEDF4"/>
    <w:lvl w:ilvl="0" w:tplc="62A8417A">
      <w:start w:val="1"/>
      <w:numFmt w:val="lowerLetter"/>
      <w:lvlText w:val="%1."/>
      <w:lvlJc w:val="left"/>
      <w:pPr>
        <w:ind w:left="1505" w:hanging="360"/>
      </w:pPr>
      <w:rPr>
        <w:rFonts w:hint="default"/>
      </w:rPr>
    </w:lvl>
    <w:lvl w:ilvl="1" w:tplc="38090019" w:tentative="1">
      <w:start w:val="1"/>
      <w:numFmt w:val="lowerLetter"/>
      <w:lvlText w:val="%2."/>
      <w:lvlJc w:val="left"/>
      <w:pPr>
        <w:ind w:left="2225" w:hanging="360"/>
      </w:pPr>
    </w:lvl>
    <w:lvl w:ilvl="2" w:tplc="3809001B" w:tentative="1">
      <w:start w:val="1"/>
      <w:numFmt w:val="lowerRoman"/>
      <w:lvlText w:val="%3."/>
      <w:lvlJc w:val="right"/>
      <w:pPr>
        <w:ind w:left="2945" w:hanging="180"/>
      </w:pPr>
    </w:lvl>
    <w:lvl w:ilvl="3" w:tplc="3809000F" w:tentative="1">
      <w:start w:val="1"/>
      <w:numFmt w:val="decimal"/>
      <w:lvlText w:val="%4."/>
      <w:lvlJc w:val="left"/>
      <w:pPr>
        <w:ind w:left="3665" w:hanging="360"/>
      </w:pPr>
    </w:lvl>
    <w:lvl w:ilvl="4" w:tplc="38090019" w:tentative="1">
      <w:start w:val="1"/>
      <w:numFmt w:val="lowerLetter"/>
      <w:lvlText w:val="%5."/>
      <w:lvlJc w:val="left"/>
      <w:pPr>
        <w:ind w:left="4385" w:hanging="360"/>
      </w:pPr>
    </w:lvl>
    <w:lvl w:ilvl="5" w:tplc="3809001B" w:tentative="1">
      <w:start w:val="1"/>
      <w:numFmt w:val="lowerRoman"/>
      <w:lvlText w:val="%6."/>
      <w:lvlJc w:val="right"/>
      <w:pPr>
        <w:ind w:left="5105" w:hanging="180"/>
      </w:pPr>
    </w:lvl>
    <w:lvl w:ilvl="6" w:tplc="3809000F" w:tentative="1">
      <w:start w:val="1"/>
      <w:numFmt w:val="decimal"/>
      <w:lvlText w:val="%7."/>
      <w:lvlJc w:val="left"/>
      <w:pPr>
        <w:ind w:left="5825" w:hanging="360"/>
      </w:pPr>
    </w:lvl>
    <w:lvl w:ilvl="7" w:tplc="38090019" w:tentative="1">
      <w:start w:val="1"/>
      <w:numFmt w:val="lowerLetter"/>
      <w:lvlText w:val="%8."/>
      <w:lvlJc w:val="left"/>
      <w:pPr>
        <w:ind w:left="6545" w:hanging="360"/>
      </w:pPr>
    </w:lvl>
    <w:lvl w:ilvl="8" w:tplc="3809001B" w:tentative="1">
      <w:start w:val="1"/>
      <w:numFmt w:val="lowerRoman"/>
      <w:lvlText w:val="%9."/>
      <w:lvlJc w:val="right"/>
      <w:pPr>
        <w:ind w:left="7265" w:hanging="180"/>
      </w:pPr>
    </w:lvl>
  </w:abstractNum>
  <w:abstractNum w:abstractNumId="5" w15:restartNumberingAfterBreak="0">
    <w:nsid w:val="6C3D3DD4"/>
    <w:multiLevelType w:val="hybridMultilevel"/>
    <w:tmpl w:val="F07A1876"/>
    <w:lvl w:ilvl="0" w:tplc="C8AAB396">
      <w:start w:val="1"/>
      <w:numFmt w:val="decimal"/>
      <w:pStyle w:val="3Judul-1"/>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6184C2D"/>
    <w:multiLevelType w:val="hybridMultilevel"/>
    <w:tmpl w:val="4B9E4086"/>
    <w:lvl w:ilvl="0" w:tplc="BD3E9AFA">
      <w:start w:val="1"/>
      <w:numFmt w:val="decimal"/>
      <w:pStyle w:val="JudulAngka"/>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6117768">
    <w:abstractNumId w:val="0"/>
  </w:num>
  <w:num w:numId="2" w16cid:durableId="1654749237">
    <w:abstractNumId w:val="2"/>
  </w:num>
  <w:num w:numId="3" w16cid:durableId="242758517">
    <w:abstractNumId w:val="4"/>
  </w:num>
  <w:num w:numId="4" w16cid:durableId="2118325463">
    <w:abstractNumId w:val="0"/>
  </w:num>
  <w:num w:numId="5" w16cid:durableId="1770075446">
    <w:abstractNumId w:val="4"/>
  </w:num>
  <w:num w:numId="6" w16cid:durableId="843007825">
    <w:abstractNumId w:val="0"/>
  </w:num>
  <w:num w:numId="7" w16cid:durableId="946735190">
    <w:abstractNumId w:val="6"/>
  </w:num>
  <w:num w:numId="8" w16cid:durableId="1975520434">
    <w:abstractNumId w:val="6"/>
  </w:num>
  <w:num w:numId="9" w16cid:durableId="1088767382">
    <w:abstractNumId w:val="5"/>
  </w:num>
  <w:num w:numId="10" w16cid:durableId="1330907738">
    <w:abstractNumId w:val="1"/>
  </w:num>
  <w:num w:numId="11" w16cid:durableId="156129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4C"/>
    <w:rsid w:val="000038EE"/>
    <w:rsid w:val="000C4ED4"/>
    <w:rsid w:val="000D4137"/>
    <w:rsid w:val="000F5EBF"/>
    <w:rsid w:val="0010463B"/>
    <w:rsid w:val="001F35C7"/>
    <w:rsid w:val="001F62E6"/>
    <w:rsid w:val="001F6C2F"/>
    <w:rsid w:val="0020485B"/>
    <w:rsid w:val="00236308"/>
    <w:rsid w:val="00286033"/>
    <w:rsid w:val="002A558F"/>
    <w:rsid w:val="00341E4C"/>
    <w:rsid w:val="004101B9"/>
    <w:rsid w:val="004130A1"/>
    <w:rsid w:val="00464B36"/>
    <w:rsid w:val="00477F0E"/>
    <w:rsid w:val="00504E41"/>
    <w:rsid w:val="00520F1A"/>
    <w:rsid w:val="00543ED2"/>
    <w:rsid w:val="00547A96"/>
    <w:rsid w:val="005C7FD7"/>
    <w:rsid w:val="00614D78"/>
    <w:rsid w:val="00615FFA"/>
    <w:rsid w:val="00636E1E"/>
    <w:rsid w:val="006B35F2"/>
    <w:rsid w:val="006C2D82"/>
    <w:rsid w:val="00737F4A"/>
    <w:rsid w:val="007C3EA2"/>
    <w:rsid w:val="007D51BD"/>
    <w:rsid w:val="00817398"/>
    <w:rsid w:val="0082680F"/>
    <w:rsid w:val="008978F9"/>
    <w:rsid w:val="00902899"/>
    <w:rsid w:val="009138B7"/>
    <w:rsid w:val="0095091E"/>
    <w:rsid w:val="00964E8F"/>
    <w:rsid w:val="009E2AB9"/>
    <w:rsid w:val="00AD431D"/>
    <w:rsid w:val="00AF62FA"/>
    <w:rsid w:val="00B11E90"/>
    <w:rsid w:val="00B51FD9"/>
    <w:rsid w:val="00BD2AA7"/>
    <w:rsid w:val="00C5282F"/>
    <w:rsid w:val="00CE745F"/>
    <w:rsid w:val="00D025A4"/>
    <w:rsid w:val="00D513E3"/>
    <w:rsid w:val="00DC63AA"/>
    <w:rsid w:val="00DE650A"/>
    <w:rsid w:val="00E26978"/>
    <w:rsid w:val="00E42556"/>
    <w:rsid w:val="00E42FF4"/>
    <w:rsid w:val="00E66269"/>
    <w:rsid w:val="00E81953"/>
    <w:rsid w:val="00F05B86"/>
    <w:rsid w:val="00F06DAC"/>
    <w:rsid w:val="00F252BC"/>
    <w:rsid w:val="00F5228D"/>
    <w:rsid w:val="00F5386C"/>
    <w:rsid w:val="00F61EEC"/>
    <w:rsid w:val="00FB4B21"/>
    <w:rsid w:val="00FC31B2"/>
    <w:rsid w:val="00FD512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E6ECA"/>
  <w15:chartTrackingRefBased/>
  <w15:docId w15:val="{400E61F2-3D60-4C0F-B771-398BD49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0A"/>
    <w:rPr>
      <w:rFonts w:ascii="Calibri" w:eastAsia="Calibri" w:hAnsi="Calibri" w:cs="Calibri"/>
      <w:kern w:val="0"/>
      <w:lang w:val="en-AU" w:eastAsia="en-ID"/>
      <w14:ligatures w14:val="none"/>
    </w:rPr>
  </w:style>
  <w:style w:type="paragraph" w:styleId="Heading1">
    <w:name w:val="heading 1"/>
    <w:basedOn w:val="Normal"/>
    <w:next w:val="Normal"/>
    <w:link w:val="Heading1Char"/>
    <w:uiPriority w:val="9"/>
    <w:qFormat/>
    <w:rsid w:val="00341E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E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E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E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E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qFormat/>
    <w:rsid w:val="00236308"/>
    <w:pPr>
      <w:jc w:val="center"/>
    </w:pPr>
    <w:rPr>
      <w:rFonts w:ascii="Times New Roman" w:hAnsi="Times New Roman" w:cs="Times New Roman"/>
      <w:b/>
      <w:lang w:val="id-ID"/>
    </w:rPr>
  </w:style>
  <w:style w:type="paragraph" w:customStyle="1" w:styleId="Style2">
    <w:name w:val="Style2"/>
    <w:basedOn w:val="Style1"/>
    <w:autoRedefine/>
    <w:qFormat/>
    <w:rsid w:val="00236308"/>
  </w:style>
  <w:style w:type="paragraph" w:styleId="Header">
    <w:name w:val="header"/>
    <w:basedOn w:val="Normal"/>
    <w:link w:val="HeaderChar"/>
    <w:uiPriority w:val="99"/>
    <w:unhideWhenUsed/>
    <w:rsid w:val="00E26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78"/>
    <w:rPr>
      <w:rFonts w:eastAsiaTheme="minorHAnsi"/>
      <w:kern w:val="0"/>
      <w14:ligatures w14:val="none"/>
    </w:rPr>
  </w:style>
  <w:style w:type="paragraph" w:styleId="ListParagraph">
    <w:name w:val="List Paragraph"/>
    <w:basedOn w:val="Normal"/>
    <w:uiPriority w:val="1"/>
    <w:qFormat/>
    <w:rsid w:val="00E26978"/>
    <w:pPr>
      <w:ind w:left="720"/>
      <w:contextualSpacing/>
    </w:pPr>
  </w:style>
  <w:style w:type="paragraph" w:customStyle="1" w:styleId="ParagrafA">
    <w:name w:val="Paragraf A"/>
    <w:basedOn w:val="Normal"/>
    <w:qFormat/>
    <w:rsid w:val="00464B36"/>
    <w:pPr>
      <w:spacing w:line="360" w:lineRule="auto"/>
      <w:ind w:firstLine="720"/>
      <w:jc w:val="both"/>
    </w:pPr>
    <w:rPr>
      <w:rFonts w:ascii="Times New Roman" w:hAnsi="Times New Roman" w:cs="Times New Roman"/>
    </w:rPr>
  </w:style>
  <w:style w:type="paragraph" w:customStyle="1" w:styleId="Paragraf1">
    <w:name w:val="Paragraf 1"/>
    <w:basedOn w:val="ListParagraph"/>
    <w:qFormat/>
    <w:rsid w:val="00464B36"/>
    <w:pPr>
      <w:spacing w:line="360" w:lineRule="auto"/>
      <w:ind w:left="425" w:firstLine="720"/>
      <w:jc w:val="both"/>
    </w:pPr>
    <w:rPr>
      <w:rFonts w:ascii="Times New Roman" w:hAnsi="Times New Roman" w:cs="Times New Roman"/>
    </w:rPr>
  </w:style>
  <w:style w:type="paragraph" w:customStyle="1" w:styleId="Paragrafa0">
    <w:name w:val="Paragraf a"/>
    <w:basedOn w:val="ListParagraph"/>
    <w:qFormat/>
    <w:rsid w:val="00464B36"/>
    <w:pPr>
      <w:spacing w:line="360" w:lineRule="auto"/>
      <w:ind w:left="1134" w:firstLine="720"/>
      <w:jc w:val="both"/>
    </w:pPr>
    <w:rPr>
      <w:rFonts w:ascii="Times New Roman" w:hAnsi="Times New Roman" w:cs="Times New Roman"/>
    </w:rPr>
  </w:style>
  <w:style w:type="paragraph" w:customStyle="1" w:styleId="JudulAngka">
    <w:name w:val="Judul Angka"/>
    <w:basedOn w:val="ListParagraph"/>
    <w:qFormat/>
    <w:rsid w:val="00E26978"/>
    <w:pPr>
      <w:numPr>
        <w:numId w:val="8"/>
      </w:numPr>
      <w:spacing w:after="0" w:line="360" w:lineRule="auto"/>
      <w:jc w:val="both"/>
    </w:pPr>
    <w:rPr>
      <w:rFonts w:asciiTheme="majorBidi" w:eastAsia="Cambria" w:hAnsiTheme="majorBidi" w:cstheme="majorBidi"/>
      <w:b/>
      <w:bCs/>
      <w:lang w:val="en-US" w:eastAsia="zh-CN"/>
    </w:rPr>
  </w:style>
  <w:style w:type="paragraph" w:customStyle="1" w:styleId="Paragraf01">
    <w:name w:val="Paragraf 01"/>
    <w:basedOn w:val="Normal"/>
    <w:qFormat/>
    <w:rsid w:val="00FC31B2"/>
    <w:pPr>
      <w:spacing w:line="360" w:lineRule="auto"/>
      <w:ind w:firstLine="720"/>
      <w:jc w:val="both"/>
    </w:pPr>
    <w:rPr>
      <w:rFonts w:asciiTheme="majorBidi" w:hAnsiTheme="majorBidi" w:cstheme="majorBidi"/>
    </w:rPr>
  </w:style>
  <w:style w:type="paragraph" w:customStyle="1" w:styleId="Paragraf02">
    <w:name w:val="Paragraf 02"/>
    <w:basedOn w:val="Normal"/>
    <w:qFormat/>
    <w:rsid w:val="00E26978"/>
    <w:pPr>
      <w:spacing w:after="0" w:line="360" w:lineRule="auto"/>
      <w:ind w:left="720" w:firstLine="720"/>
      <w:jc w:val="both"/>
    </w:pPr>
    <w:rPr>
      <w:rFonts w:asciiTheme="majorBidi" w:eastAsia="Cambria" w:hAnsiTheme="majorBidi" w:cstheme="majorBidi"/>
      <w:lang w:val="en-US" w:eastAsia="zh-CN"/>
    </w:rPr>
  </w:style>
  <w:style w:type="paragraph" w:styleId="FootnoteText">
    <w:name w:val="footnote text"/>
    <w:basedOn w:val="Normal"/>
    <w:link w:val="FootnoteTextChar"/>
    <w:uiPriority w:val="99"/>
    <w:unhideWhenUsed/>
    <w:rsid w:val="00E26978"/>
    <w:pPr>
      <w:spacing w:after="0" w:line="240" w:lineRule="auto"/>
    </w:pPr>
    <w:rPr>
      <w:sz w:val="20"/>
      <w:szCs w:val="20"/>
    </w:rPr>
  </w:style>
  <w:style w:type="character" w:customStyle="1" w:styleId="FootnoteTextChar">
    <w:name w:val="Footnote Text Char"/>
    <w:basedOn w:val="DefaultParagraphFont"/>
    <w:link w:val="FootnoteText"/>
    <w:uiPriority w:val="99"/>
    <w:rsid w:val="00E26978"/>
    <w:rPr>
      <w:rFonts w:eastAsiaTheme="minorHAnsi"/>
      <w:kern w:val="0"/>
      <w:sz w:val="20"/>
      <w:szCs w:val="20"/>
      <w14:ligatures w14:val="none"/>
    </w:rPr>
  </w:style>
  <w:style w:type="paragraph" w:styleId="CommentText">
    <w:name w:val="annotation text"/>
    <w:basedOn w:val="Normal"/>
    <w:link w:val="CommentTextChar"/>
    <w:uiPriority w:val="99"/>
    <w:semiHidden/>
    <w:unhideWhenUsed/>
    <w:rsid w:val="00E26978"/>
    <w:pPr>
      <w:spacing w:line="240" w:lineRule="auto"/>
    </w:pPr>
    <w:rPr>
      <w:sz w:val="20"/>
      <w:szCs w:val="20"/>
    </w:rPr>
  </w:style>
  <w:style w:type="character" w:customStyle="1" w:styleId="CommentTextChar">
    <w:name w:val="Comment Text Char"/>
    <w:basedOn w:val="DefaultParagraphFont"/>
    <w:link w:val="CommentText"/>
    <w:uiPriority w:val="99"/>
    <w:semiHidden/>
    <w:rsid w:val="00E26978"/>
    <w:rPr>
      <w:rFonts w:eastAsiaTheme="minorHAnsi"/>
      <w:kern w:val="0"/>
      <w:sz w:val="20"/>
      <w:szCs w:val="20"/>
      <w14:ligatures w14:val="none"/>
    </w:rPr>
  </w:style>
  <w:style w:type="paragraph" w:styleId="Footer">
    <w:name w:val="footer"/>
    <w:basedOn w:val="Normal"/>
    <w:link w:val="FooterChar"/>
    <w:uiPriority w:val="99"/>
    <w:unhideWhenUsed/>
    <w:qFormat/>
    <w:rsid w:val="00E2697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26978"/>
    <w:rPr>
      <w:rFonts w:eastAsiaTheme="minorHAnsi"/>
      <w:kern w:val="0"/>
      <w14:ligatures w14:val="none"/>
    </w:rPr>
  </w:style>
  <w:style w:type="character" w:styleId="FootnoteReference">
    <w:name w:val="footnote reference"/>
    <w:basedOn w:val="DefaultParagraphFont"/>
    <w:uiPriority w:val="99"/>
    <w:semiHidden/>
    <w:unhideWhenUsed/>
    <w:rsid w:val="00E26978"/>
    <w:rPr>
      <w:vertAlign w:val="superscript"/>
    </w:rPr>
  </w:style>
  <w:style w:type="character" w:styleId="CommentReference">
    <w:name w:val="annotation reference"/>
    <w:basedOn w:val="DefaultParagraphFont"/>
    <w:uiPriority w:val="99"/>
    <w:semiHidden/>
    <w:unhideWhenUsed/>
    <w:rsid w:val="00E26978"/>
    <w:rPr>
      <w:sz w:val="16"/>
      <w:szCs w:val="16"/>
    </w:rPr>
  </w:style>
  <w:style w:type="paragraph" w:styleId="Title">
    <w:name w:val="Title"/>
    <w:basedOn w:val="Normal"/>
    <w:link w:val="TitleChar"/>
    <w:qFormat/>
    <w:rsid w:val="00E26978"/>
    <w:pPr>
      <w:spacing w:after="0" w:line="48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26978"/>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99"/>
    <w:qFormat/>
    <w:rsid w:val="00E26978"/>
    <w:pPr>
      <w:widowControl w:val="0"/>
      <w:autoSpaceDE w:val="0"/>
      <w:autoSpaceDN w:val="0"/>
      <w:spacing w:after="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E26978"/>
    <w:rPr>
      <w:rFonts w:ascii="Times New Roman" w:eastAsia="Times New Roman" w:hAnsi="Times New Roman" w:cs="Times New Roman"/>
      <w:kern w:val="0"/>
      <w:sz w:val="24"/>
      <w:szCs w:val="24"/>
      <w:lang w:val="id-ID" w:eastAsia="id-ID"/>
      <w14:ligatures w14:val="none"/>
    </w:rPr>
  </w:style>
  <w:style w:type="character" w:styleId="Hyperlink">
    <w:name w:val="Hyperlink"/>
    <w:basedOn w:val="DefaultParagraphFont"/>
    <w:uiPriority w:val="99"/>
    <w:unhideWhenUsed/>
    <w:rsid w:val="00E26978"/>
    <w:rPr>
      <w:color w:val="0563C1" w:themeColor="hyperlink"/>
      <w:u w:val="single"/>
    </w:rPr>
  </w:style>
  <w:style w:type="paragraph" w:styleId="HTMLPreformatted">
    <w:name w:val="HTML Preformatted"/>
    <w:basedOn w:val="Normal"/>
    <w:link w:val="HTMLPreformattedChar"/>
    <w:uiPriority w:val="99"/>
    <w:semiHidden/>
    <w:unhideWhenUsed/>
    <w:rsid w:val="00E26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6978"/>
    <w:rPr>
      <w:rFonts w:ascii="Courier New" w:eastAsia="Times New Roman" w:hAnsi="Courier New" w:cs="Courier New"/>
      <w:kern w:val="0"/>
      <w:sz w:val="20"/>
      <w:szCs w:val="20"/>
      <w:lang w:eastAsia="en-ID"/>
      <w14:ligatures w14:val="none"/>
    </w:rPr>
  </w:style>
  <w:style w:type="paragraph" w:styleId="CommentSubject">
    <w:name w:val="annotation subject"/>
    <w:basedOn w:val="CommentText"/>
    <w:next w:val="CommentText"/>
    <w:link w:val="CommentSubjectChar"/>
    <w:uiPriority w:val="99"/>
    <w:semiHidden/>
    <w:unhideWhenUsed/>
    <w:rsid w:val="00E26978"/>
    <w:rPr>
      <w:b/>
      <w:bCs/>
    </w:rPr>
  </w:style>
  <w:style w:type="character" w:customStyle="1" w:styleId="CommentSubjectChar">
    <w:name w:val="Comment Subject Char"/>
    <w:basedOn w:val="CommentTextChar"/>
    <w:link w:val="CommentSubject"/>
    <w:uiPriority w:val="99"/>
    <w:semiHidden/>
    <w:rsid w:val="00E26978"/>
    <w:rPr>
      <w:rFonts w:eastAsiaTheme="minorHAnsi"/>
      <w:b/>
      <w:bCs/>
      <w:kern w:val="0"/>
      <w:sz w:val="20"/>
      <w:szCs w:val="20"/>
      <w14:ligatures w14:val="none"/>
    </w:rPr>
  </w:style>
  <w:style w:type="paragraph" w:styleId="BalloonText">
    <w:name w:val="Balloon Text"/>
    <w:basedOn w:val="Normal"/>
    <w:link w:val="BalloonTextChar"/>
    <w:uiPriority w:val="99"/>
    <w:semiHidden/>
    <w:unhideWhenUsed/>
    <w:rsid w:val="00E2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978"/>
    <w:rPr>
      <w:rFonts w:ascii="Segoe UI" w:eastAsiaTheme="minorHAnsi" w:hAnsi="Segoe UI" w:cs="Segoe UI"/>
      <w:kern w:val="0"/>
      <w:sz w:val="18"/>
      <w:szCs w:val="18"/>
      <w14:ligatures w14:val="none"/>
    </w:rPr>
  </w:style>
  <w:style w:type="table" w:styleId="TableGrid">
    <w:name w:val="Table Grid"/>
    <w:basedOn w:val="TableNormal"/>
    <w:uiPriority w:val="59"/>
    <w:rsid w:val="00E269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26978"/>
    <w:pPr>
      <w:spacing w:after="240" w:line="240" w:lineRule="auto"/>
      <w:ind w:left="720" w:hanging="720"/>
    </w:pPr>
  </w:style>
  <w:style w:type="character" w:styleId="UnresolvedMention">
    <w:name w:val="Unresolved Mention"/>
    <w:basedOn w:val="DefaultParagraphFont"/>
    <w:uiPriority w:val="99"/>
    <w:semiHidden/>
    <w:unhideWhenUsed/>
    <w:rsid w:val="00E26978"/>
    <w:rPr>
      <w:color w:val="605E5C"/>
      <w:shd w:val="clear" w:color="auto" w:fill="E1DFDD"/>
    </w:rPr>
  </w:style>
  <w:style w:type="paragraph" w:customStyle="1" w:styleId="1BAB">
    <w:name w:val="1. BAB"/>
    <w:basedOn w:val="Normal"/>
    <w:qFormat/>
    <w:rsid w:val="004101B9"/>
    <w:pPr>
      <w:spacing w:after="0" w:line="360" w:lineRule="auto"/>
      <w:jc w:val="both"/>
    </w:pPr>
    <w:rPr>
      <w:rFonts w:asciiTheme="majorBidi" w:hAnsiTheme="majorBidi" w:cstheme="majorBidi"/>
      <w:b/>
      <w:bCs/>
      <w:lang w:val="en-US"/>
    </w:rPr>
  </w:style>
  <w:style w:type="paragraph" w:customStyle="1" w:styleId="3Judul-1">
    <w:name w:val="3. Judul-1"/>
    <w:basedOn w:val="ListParagraph"/>
    <w:qFormat/>
    <w:rsid w:val="004101B9"/>
    <w:pPr>
      <w:numPr>
        <w:numId w:val="9"/>
      </w:numPr>
      <w:spacing w:after="0" w:line="360" w:lineRule="auto"/>
      <w:ind w:left="709"/>
      <w:jc w:val="both"/>
    </w:pPr>
    <w:rPr>
      <w:rFonts w:asciiTheme="majorBidi" w:hAnsiTheme="majorBidi" w:cstheme="majorBidi"/>
      <w:b/>
      <w:bCs/>
      <w:lang w:val="en-US"/>
    </w:rPr>
  </w:style>
  <w:style w:type="paragraph" w:customStyle="1" w:styleId="5Judul-1">
    <w:name w:val="5. Judul-1)"/>
    <w:basedOn w:val="ListParagraph"/>
    <w:qFormat/>
    <w:rsid w:val="004101B9"/>
    <w:pPr>
      <w:numPr>
        <w:numId w:val="10"/>
      </w:numPr>
      <w:spacing w:after="0" w:line="360" w:lineRule="auto"/>
      <w:jc w:val="both"/>
    </w:pPr>
    <w:rPr>
      <w:rFonts w:asciiTheme="majorBidi" w:hAnsiTheme="majorBidi" w:cstheme="majorBidi"/>
      <w:lang w:val="en-US"/>
    </w:rPr>
  </w:style>
  <w:style w:type="paragraph" w:customStyle="1" w:styleId="4Judul-a">
    <w:name w:val="4. Judul-a"/>
    <w:basedOn w:val="ListParagraph"/>
    <w:qFormat/>
    <w:rsid w:val="004101B9"/>
    <w:pPr>
      <w:numPr>
        <w:numId w:val="11"/>
      </w:numPr>
      <w:spacing w:after="0" w:line="360" w:lineRule="auto"/>
      <w:jc w:val="both"/>
    </w:pPr>
    <w:rPr>
      <w:rFonts w:asciiTheme="majorBidi" w:hAnsiTheme="majorBidi" w:cstheme="majorBidi"/>
      <w:lang w:val="en-US"/>
    </w:rPr>
  </w:style>
  <w:style w:type="paragraph" w:customStyle="1" w:styleId="6Par-00">
    <w:name w:val="6. Par-00"/>
    <w:basedOn w:val="Normal"/>
    <w:qFormat/>
    <w:rsid w:val="004101B9"/>
    <w:pPr>
      <w:spacing w:after="0" w:line="360" w:lineRule="auto"/>
      <w:ind w:firstLine="720"/>
      <w:jc w:val="both"/>
    </w:pPr>
    <w:rPr>
      <w:rFonts w:asciiTheme="majorBidi" w:hAnsiTheme="majorBidi" w:cstheme="majorBidi"/>
      <w:lang w:val="en-US"/>
    </w:rPr>
  </w:style>
  <w:style w:type="paragraph" w:customStyle="1" w:styleId="7Par-01">
    <w:name w:val="7. Par-01"/>
    <w:basedOn w:val="Normal"/>
    <w:qFormat/>
    <w:rsid w:val="004101B9"/>
    <w:pPr>
      <w:spacing w:after="0" w:line="360" w:lineRule="auto"/>
      <w:ind w:left="709" w:firstLine="720"/>
      <w:jc w:val="both"/>
    </w:pPr>
    <w:rPr>
      <w:rFonts w:asciiTheme="majorBidi" w:hAnsiTheme="majorBidi" w:cstheme="majorBidi"/>
      <w:lang w:val="en-US"/>
    </w:rPr>
  </w:style>
  <w:style w:type="paragraph" w:customStyle="1" w:styleId="8Par-02">
    <w:name w:val="8. Par-02"/>
    <w:basedOn w:val="ListParagraph"/>
    <w:qFormat/>
    <w:rsid w:val="004101B9"/>
    <w:pPr>
      <w:spacing w:after="0" w:line="360" w:lineRule="auto"/>
      <w:ind w:left="1418" w:firstLine="720"/>
      <w:jc w:val="both"/>
    </w:pPr>
    <w:rPr>
      <w:rFonts w:asciiTheme="majorBidi" w:hAnsiTheme="majorBidi" w:cstheme="majorBidi"/>
      <w:lang w:val="en-US"/>
    </w:rPr>
  </w:style>
  <w:style w:type="paragraph" w:customStyle="1" w:styleId="9Par-03">
    <w:name w:val="9. Par-03"/>
    <w:basedOn w:val="ListParagraph"/>
    <w:qFormat/>
    <w:rsid w:val="004101B9"/>
    <w:pPr>
      <w:spacing w:after="0" w:line="360" w:lineRule="auto"/>
      <w:ind w:left="2126" w:firstLine="720"/>
      <w:jc w:val="both"/>
    </w:pPr>
    <w:rPr>
      <w:rFonts w:asciiTheme="majorBidi" w:hAnsiTheme="majorBidi" w:cstheme="majorBidi"/>
      <w:lang w:val="en-US"/>
    </w:rPr>
  </w:style>
  <w:style w:type="paragraph" w:customStyle="1" w:styleId="2Sub-Judul">
    <w:name w:val="2. Sub-Judul"/>
    <w:basedOn w:val="Normal"/>
    <w:qFormat/>
    <w:rsid w:val="004101B9"/>
    <w:pPr>
      <w:spacing w:after="0" w:line="360" w:lineRule="auto"/>
      <w:jc w:val="both"/>
    </w:pPr>
    <w:rPr>
      <w:rFonts w:asciiTheme="majorBidi" w:hAnsiTheme="majorBidi" w:cstheme="majorBidi"/>
      <w:b/>
      <w:bCs/>
      <w:lang w:val="en-US"/>
    </w:rPr>
  </w:style>
  <w:style w:type="character" w:customStyle="1" w:styleId="Heading1Char">
    <w:name w:val="Heading 1 Char"/>
    <w:basedOn w:val="DefaultParagraphFont"/>
    <w:link w:val="Heading1"/>
    <w:uiPriority w:val="9"/>
    <w:rsid w:val="00341E4C"/>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41E4C"/>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41E4C"/>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41E4C"/>
    <w:rPr>
      <w:rFonts w:eastAsiaTheme="majorEastAsia"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341E4C"/>
    <w:rPr>
      <w:rFonts w:eastAsiaTheme="majorEastAsia"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341E4C"/>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1E4C"/>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1E4C"/>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1E4C"/>
    <w:rPr>
      <w:rFonts w:eastAsiaTheme="majorEastAsia" w:cstheme="majorBidi"/>
      <w:color w:val="272727" w:themeColor="text1" w:themeTint="D8"/>
      <w:kern w:val="0"/>
      <w14:ligatures w14:val="none"/>
    </w:rPr>
  </w:style>
  <w:style w:type="paragraph" w:styleId="Subtitle">
    <w:name w:val="Subtitle"/>
    <w:basedOn w:val="Normal"/>
    <w:next w:val="Normal"/>
    <w:link w:val="SubtitleChar"/>
    <w:uiPriority w:val="11"/>
    <w:qFormat/>
    <w:rsid w:val="00341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4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1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1E4C"/>
    <w:rPr>
      <w:i/>
      <w:iCs/>
      <w:color w:val="404040" w:themeColor="text1" w:themeTint="BF"/>
      <w:kern w:val="0"/>
      <w14:ligatures w14:val="none"/>
    </w:rPr>
  </w:style>
  <w:style w:type="character" w:styleId="IntenseEmphasis">
    <w:name w:val="Intense Emphasis"/>
    <w:basedOn w:val="DefaultParagraphFont"/>
    <w:uiPriority w:val="21"/>
    <w:qFormat/>
    <w:rsid w:val="00341E4C"/>
    <w:rPr>
      <w:i/>
      <w:iCs/>
      <w:color w:val="2F5496" w:themeColor="accent1" w:themeShade="BF"/>
    </w:rPr>
  </w:style>
  <w:style w:type="paragraph" w:styleId="IntenseQuote">
    <w:name w:val="Intense Quote"/>
    <w:basedOn w:val="Normal"/>
    <w:next w:val="Normal"/>
    <w:link w:val="IntenseQuoteChar"/>
    <w:uiPriority w:val="30"/>
    <w:qFormat/>
    <w:rsid w:val="00341E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E4C"/>
    <w:rPr>
      <w:i/>
      <w:iCs/>
      <w:color w:val="2F5496" w:themeColor="accent1" w:themeShade="BF"/>
      <w:kern w:val="0"/>
      <w14:ligatures w14:val="none"/>
    </w:rPr>
  </w:style>
  <w:style w:type="character" w:styleId="IntenseReference">
    <w:name w:val="Intense Reference"/>
    <w:basedOn w:val="DefaultParagraphFont"/>
    <w:uiPriority w:val="32"/>
    <w:qFormat/>
    <w:rsid w:val="00341E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enulis01@gmail.com1" TargetMode="Externa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emailpenulis04@gmail.com4" TargetMode="External"/><Relationship Id="rId5" Type="http://schemas.openxmlformats.org/officeDocument/2006/relationships/webSettings" Target="webSettings.xml"/><Relationship Id="rId15" Type="http://schemas.openxmlformats.org/officeDocument/2006/relationships/hyperlink" Target="mailto:emailpenulis01@gmail.com" TargetMode="External"/><Relationship Id="rId10" Type="http://schemas.openxmlformats.org/officeDocument/2006/relationships/hyperlink" Target="mailto:%20emailpenulis03@gmail.com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20emailpenulis02@gmail.com2"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maryamsejahtera.com/index.php/Religion" TargetMode="External"/><Relationship Id="rId1" Type="http://schemas.openxmlformats.org/officeDocument/2006/relationships/image" Target="media/image3.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C04C290-C3B9-4953-819F-F2FEA00B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 User</dc:creator>
  <cp:keywords/>
  <dc:description/>
  <cp:lastModifiedBy>Advan User</cp:lastModifiedBy>
  <cp:revision>9</cp:revision>
  <dcterms:created xsi:type="dcterms:W3CDTF">2026-03-08T04:57:00Z</dcterms:created>
  <dcterms:modified xsi:type="dcterms:W3CDTF">2026-04-05T13:13:00Z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id="D2g86WxE"/&gt;&lt;style id="http://www.zotero.org/styles/chicago-notes-bibliography" locale="id-ID" hasBibliography="1" bibliographyStyleHasBeenSet="1"/&gt;&lt;prefs&gt;&lt;pref name="fieldType" value="Field"/&gt;&lt;pr</vt:lpwstr>
  </property>
  <property fmtid="{D5CDD505-2E9C-101B-9397-08002B2CF9AE}" pid="3" name="ZOTERO_PREF_2">
    <vt:lpwstr>ef name="noteType" value="1"/&gt;&lt;/prefs&gt;&lt;/data&gt;</vt:lpwstr>
  </property>
</Properties>
</file>