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ssm4e03lk6rg" w:id="0"/>
      <w:bookmarkEnd w:id="0"/>
      <w:r w:rsidDel="00000000" w:rsidR="00000000" w:rsidRPr="00000000">
        <w:rPr>
          <w:rtl w:val="0"/>
        </w:rPr>
        <w:t xml:space="preserve">A guide to Key Performance Indicators( KPIs) for the Operations Coordinator</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1"/>
        <w:rPr/>
      </w:pPr>
      <w:bookmarkStart w:colFirst="0" w:colLast="0" w:name="_1dewqkphnaf5" w:id="1"/>
      <w:bookmarkEnd w:id="1"/>
      <w:r w:rsidDel="00000000" w:rsidR="00000000" w:rsidRPr="00000000">
        <w:rPr>
          <w:rtl w:val="0"/>
        </w:rPr>
        <w:t xml:space="preserve">Section 1: Instructions for using the KPI Guide in your Performance Management System</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numPr>
          <w:ilvl w:val="0"/>
          <w:numId w:val="1"/>
        </w:numPr>
        <w:ind w:left="720" w:hanging="360"/>
        <w:rPr/>
      </w:pPr>
      <w:r w:rsidDel="00000000" w:rsidR="00000000" w:rsidRPr="00000000">
        <w:rPr>
          <w:rtl w:val="0"/>
        </w:rPr>
        <w:t xml:space="preserve">Identify the relevant KPIs: Depending on your role in the organization, you may want to focus on different KPIs. For example, HR professionals may want to track cost per hire, while managers may be more interested in the time-to-fill metric.</w:t>
      </w:r>
    </w:p>
    <w:p w:rsidR="00000000" w:rsidDel="00000000" w:rsidP="00000000" w:rsidRDefault="00000000" w:rsidRPr="00000000" w14:paraId="00000006">
      <w:pPr>
        <w:ind w:left="720" w:firstLine="0"/>
        <w:rPr/>
      </w:pPr>
      <w:r w:rsidDel="00000000" w:rsidR="00000000" w:rsidRPr="00000000">
        <w:rPr>
          <w:rtl w:val="0"/>
        </w:rPr>
      </w:r>
    </w:p>
    <w:p w:rsidR="00000000" w:rsidDel="00000000" w:rsidP="00000000" w:rsidRDefault="00000000" w:rsidRPr="00000000" w14:paraId="00000007">
      <w:pPr>
        <w:numPr>
          <w:ilvl w:val="0"/>
          <w:numId w:val="1"/>
        </w:numPr>
        <w:ind w:left="720" w:hanging="360"/>
        <w:rPr/>
      </w:pPr>
      <w:r w:rsidDel="00000000" w:rsidR="00000000" w:rsidRPr="00000000">
        <w:rPr>
          <w:rtl w:val="0"/>
        </w:rPr>
        <w:t xml:space="preserve">Determine the time frame: Decide on the time frame for tracking each KPI. For example, you may choose to track the number of qualified technical candidates sourced and engaged per month.</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numPr>
          <w:ilvl w:val="0"/>
          <w:numId w:val="1"/>
        </w:numPr>
        <w:ind w:left="720" w:hanging="360"/>
        <w:rPr/>
      </w:pPr>
      <w:r w:rsidDel="00000000" w:rsidR="00000000" w:rsidRPr="00000000">
        <w:rPr>
          <w:rtl w:val="0"/>
        </w:rPr>
        <w:t xml:space="preserve">Collect the data: Collect the necessary data to calculate each KPI. For example, to calculate the candidate acceptance rate, you will need to  know the number of job offers accepted and the total number of job offers.</w:t>
      </w:r>
    </w:p>
    <w:p w:rsidR="00000000" w:rsidDel="00000000" w:rsidP="00000000" w:rsidRDefault="00000000" w:rsidRPr="00000000" w14:paraId="0000000A">
      <w:pPr>
        <w:ind w:left="720" w:firstLine="0"/>
        <w:rPr/>
      </w:pPr>
      <w:r w:rsidDel="00000000" w:rsidR="00000000" w:rsidRPr="00000000">
        <w:rPr>
          <w:rtl w:val="0"/>
        </w:rPr>
      </w:r>
    </w:p>
    <w:p w:rsidR="00000000" w:rsidDel="00000000" w:rsidP="00000000" w:rsidRDefault="00000000" w:rsidRPr="00000000" w14:paraId="0000000B">
      <w:pPr>
        <w:numPr>
          <w:ilvl w:val="0"/>
          <w:numId w:val="1"/>
        </w:numPr>
        <w:ind w:left="720" w:hanging="360"/>
        <w:rPr/>
      </w:pPr>
      <w:r w:rsidDel="00000000" w:rsidR="00000000" w:rsidRPr="00000000">
        <w:rPr>
          <w:rtl w:val="0"/>
        </w:rPr>
        <w:t xml:space="preserve">Calculate the KPIs: Use the formulas provided in the table to calculate each KPI.</w:t>
      </w:r>
    </w:p>
    <w:p w:rsidR="00000000" w:rsidDel="00000000" w:rsidP="00000000" w:rsidRDefault="00000000" w:rsidRPr="00000000" w14:paraId="0000000C">
      <w:pPr>
        <w:ind w:left="720" w:firstLine="0"/>
        <w:rPr/>
      </w:pPr>
      <w:r w:rsidDel="00000000" w:rsidR="00000000" w:rsidRPr="00000000">
        <w:rPr>
          <w:rtl w:val="0"/>
        </w:rPr>
      </w:r>
    </w:p>
    <w:p w:rsidR="00000000" w:rsidDel="00000000" w:rsidP="00000000" w:rsidRDefault="00000000" w:rsidRPr="00000000" w14:paraId="0000000D">
      <w:pPr>
        <w:numPr>
          <w:ilvl w:val="0"/>
          <w:numId w:val="1"/>
        </w:numPr>
        <w:ind w:left="720" w:hanging="360"/>
        <w:rPr/>
      </w:pPr>
      <w:r w:rsidDel="00000000" w:rsidR="00000000" w:rsidRPr="00000000">
        <w:rPr>
          <w:rtl w:val="0"/>
        </w:rPr>
        <w:t xml:space="preserve">Interpret the results: Once you have calculated the KPIs, interpret the results to evaluate the effectiveness of the performance management system. For example, if the time-to-fill metric is high, it may indicate that the recruitment process needs to be streamlined.</w:t>
      </w:r>
    </w:p>
    <w:p w:rsidR="00000000" w:rsidDel="00000000" w:rsidP="00000000" w:rsidRDefault="00000000" w:rsidRPr="00000000" w14:paraId="0000000E">
      <w:pPr>
        <w:ind w:left="720" w:firstLine="0"/>
        <w:rPr/>
      </w:pPr>
      <w:r w:rsidDel="00000000" w:rsidR="00000000" w:rsidRPr="00000000">
        <w:rPr>
          <w:rtl w:val="0"/>
        </w:rPr>
      </w:r>
    </w:p>
    <w:p w:rsidR="00000000" w:rsidDel="00000000" w:rsidP="00000000" w:rsidRDefault="00000000" w:rsidRPr="00000000" w14:paraId="0000000F">
      <w:pPr>
        <w:numPr>
          <w:ilvl w:val="0"/>
          <w:numId w:val="1"/>
        </w:numPr>
        <w:ind w:left="720" w:hanging="360"/>
        <w:rPr/>
      </w:pPr>
      <w:r w:rsidDel="00000000" w:rsidR="00000000" w:rsidRPr="00000000">
        <w:rPr>
          <w:rtl w:val="0"/>
        </w:rPr>
        <w:t xml:space="preserve">Use the results to make improvements: Regularly collect the necessary data for each KPI.  Keep track of the results over time to monitor performance, identify areas for improvement, and ensure compliance with regulations. Use the insights gained from the KPIs to make improvements to the performance management system. For example, if the candidate satisfaction rate with the recruitment process is low, consider making changes to improve the candidate experience.</w:t>
      </w:r>
    </w:p>
    <w:p w:rsidR="00000000" w:rsidDel="00000000" w:rsidP="00000000" w:rsidRDefault="00000000" w:rsidRPr="00000000" w14:paraId="00000010">
      <w:pPr>
        <w:pStyle w:val="Heading1"/>
        <w:rPr/>
      </w:pPr>
      <w:bookmarkStart w:colFirst="0" w:colLast="0" w:name="_p60m2533t1n8" w:id="2"/>
      <w:bookmarkEnd w:id="2"/>
      <w:r w:rsidDel="00000000" w:rsidR="00000000" w:rsidRPr="00000000">
        <w:rPr>
          <w:rtl w:val="0"/>
        </w:rPr>
        <w:t xml:space="preserve">Section 2: Key Performance Indicators For Role  Operations Coordinator</w:t>
      </w:r>
    </w:p>
    <w:p w:rsidR="00000000" w:rsidDel="00000000" w:rsidP="00000000" w:rsidRDefault="00000000" w:rsidRPr="00000000" w14:paraId="00000011">
      <w:pPr>
        <w:rPr/>
      </w:pPr>
      <w:r w:rsidDel="00000000" w:rsidR="00000000" w:rsidRPr="00000000">
        <w:rPr>
          <w:rtl w:val="0"/>
        </w:rPr>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41.1255411255415"/>
        <w:gridCol w:w="3732.2943722943724"/>
        <w:gridCol w:w="3286.5800865800866"/>
        <w:tblGridChange w:id="0">
          <w:tblGrid>
            <w:gridCol w:w="2341.1255411255415"/>
            <w:gridCol w:w="3732.2943722943724"/>
            <w:gridCol w:w="3286.5800865800866"/>
          </w:tblGrid>
        </w:tblGridChange>
      </w:tblGrid>
      <w:tr>
        <w:trPr>
          <w:cantSplit w:val="0"/>
          <w:trHeight w:val="710" w:hRule="atLeast"/>
          <w:tblHeader w:val="0"/>
        </w:trPr>
        <w:tc>
          <w:tcPr>
            <w:tcBorders>
              <w:top w:color="d9d9e3" w:space="0" w:sz="6" w:val="single"/>
              <w:left w:color="d9d9e3" w:space="0" w:sz="6" w:val="single"/>
              <w:bottom w:color="d9d9e3" w:space="0" w:sz="6" w:val="single"/>
              <w:right w:color="000000" w:space="0" w:sz="0" w:val="nil"/>
            </w:tcBorders>
            <w:tcMar>
              <w:top w:w="100.0" w:type="dxa"/>
              <w:left w:w="100.0" w:type="dxa"/>
              <w:bottom w:w="100.0" w:type="dxa"/>
              <w:right w:w="100.0" w:type="dxa"/>
            </w:tcMar>
            <w:vAlign w:val="bottom"/>
          </w:tcPr>
          <w:p w:rsidR="00000000" w:rsidDel="00000000" w:rsidP="00000000" w:rsidRDefault="00000000" w:rsidRPr="00000000" w14:paraId="00000012">
            <w:pPr>
              <w:spacing w:line="240" w:lineRule="auto"/>
              <w:rPr>
                <w:b w:val="1"/>
                <w:bCs w:val="1"/>
                <w:i w:val="1"/>
                <w:iCs w:val="1"/>
              </w:rPr>
            </w:pPr>
            <w:r w:rsidDel="00000000" w:rsidR="00000000" w:rsidRPr="00000000">
              <w:rPr>
                <w:b w:val="1"/>
                <w:bCs w:val="1"/>
                <w:i w:val="1"/>
                <w:iCs w:val="1"/>
                <w:rtl w:val="0"/>
              </w:rPr>
              <w:t xml:space="preserve">KPI</w:t>
            </w:r>
          </w:p>
        </w:tc>
        <w:tc>
          <w:tcPr>
            <w:tcBorders>
              <w:top w:color="d9d9e3" w:space="0" w:sz="6" w:val="single"/>
              <w:left w:color="d9d9e3" w:space="0" w:sz="6" w:val="single"/>
              <w:bottom w:color="d9d9e3" w:space="0" w:sz="6" w:val="single"/>
              <w:right w:color="000000" w:space="0" w:sz="0" w:val="nil"/>
            </w:tcBorders>
            <w:tcMar>
              <w:top w:w="100.0" w:type="dxa"/>
              <w:left w:w="100.0" w:type="dxa"/>
              <w:bottom w:w="100.0" w:type="dxa"/>
              <w:right w:w="100.0" w:type="dxa"/>
            </w:tcMar>
            <w:vAlign w:val="bottom"/>
          </w:tcPr>
          <w:p w:rsidR="00000000" w:rsidDel="00000000" w:rsidP="00000000" w:rsidRDefault="00000000" w:rsidRPr="00000000" w14:paraId="00000013">
            <w:pPr>
              <w:spacing w:line="240" w:lineRule="auto"/>
              <w:rPr>
                <w:b w:val="1"/>
                <w:bCs w:val="1"/>
                <w:i w:val="1"/>
                <w:iCs w:val="1"/>
              </w:rPr>
            </w:pPr>
            <w:r w:rsidDel="00000000" w:rsidR="00000000" w:rsidRPr="00000000">
              <w:rPr>
                <w:b w:val="1"/>
                <w:bCs w:val="1"/>
                <w:i w:val="1"/>
                <w:iCs w:val="1"/>
                <w:rtl w:val="0"/>
              </w:rPr>
              <w:t xml:space="preserve">Detailed Description</w:t>
            </w:r>
          </w:p>
        </w:tc>
        <w:tc>
          <w:tcPr>
            <w:tcBorders>
              <w:top w:color="d9d9e3" w:space="0" w:sz="6" w:val="single"/>
              <w:left w:color="d9d9e3" w:space="0" w:sz="6" w:val="single"/>
              <w:bottom w:color="d9d9e3" w:space="0" w:sz="6" w:val="single"/>
              <w:right w:color="d9d9e3" w:space="0" w:sz="6" w:val="single"/>
            </w:tcBorders>
            <w:tcMar>
              <w:top w:w="100.0" w:type="dxa"/>
              <w:left w:w="100.0" w:type="dxa"/>
              <w:bottom w:w="100.0" w:type="dxa"/>
              <w:right w:w="100.0" w:type="dxa"/>
            </w:tcMar>
            <w:vAlign w:val="bottom"/>
          </w:tcPr>
          <w:p w:rsidR="00000000" w:rsidDel="00000000" w:rsidP="00000000" w:rsidRDefault="00000000" w:rsidRPr="00000000" w14:paraId="00000014">
            <w:pPr>
              <w:spacing w:line="240" w:lineRule="auto"/>
              <w:rPr>
                <w:b w:val="1"/>
                <w:bCs w:val="1"/>
                <w:i w:val="1"/>
                <w:iCs w:val="1"/>
              </w:rPr>
            </w:pPr>
            <w:r w:rsidDel="00000000" w:rsidR="00000000" w:rsidRPr="00000000">
              <w:rPr>
                <w:b w:val="1"/>
                <w:bCs w:val="1"/>
                <w:i w:val="1"/>
                <w:iCs w:val="1"/>
                <w:rtl w:val="0"/>
              </w:rPr>
              <w:t xml:space="preserve">Formula</w:t>
            </w:r>
          </w:p>
        </w:tc>
      </w:tr>
      <w:tr>
        <w:trPr>
          <w:cantSplit w:val="0"/>
          <w:trHeight w:val="1775" w:hRule="atLeast"/>
          <w:tblHeader w:val="0"/>
        </w:trPr>
        <w:tc>
          <w:tcPr>
            <w:tcBorders>
              <w:top w:color="000000" w:space="0" w:sz="0" w:val="nil"/>
              <w:left w:color="d9d9e3" w:space="0" w:sz="6" w:val="single"/>
              <w:bottom w:color="d9d9e3"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15">
            <w:pPr>
              <w:spacing w:line="240" w:lineRule="auto"/>
              <w:rPr/>
            </w:pPr>
            <w:r w:rsidDel="00000000" w:rsidR="00000000" w:rsidRPr="00000000">
              <w:rPr>
                <w:rtl w:val="0"/>
              </w:rPr>
              <w:t xml:space="preserve">Logistics and Schedule Efficiency</w:t>
            </w:r>
          </w:p>
        </w:tc>
        <w:tc>
          <w:tcPr>
            <w:tcBorders>
              <w:top w:color="000000" w:space="0" w:sz="0" w:val="nil"/>
              <w:left w:color="d9d9e3" w:space="0" w:sz="6" w:val="single"/>
              <w:bottom w:color="d9d9e3"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16">
            <w:pPr>
              <w:spacing w:line="240" w:lineRule="auto"/>
              <w:rPr/>
            </w:pPr>
            <w:r w:rsidDel="00000000" w:rsidR="00000000" w:rsidRPr="00000000">
              <w:rPr>
                <w:rtl w:val="0"/>
              </w:rPr>
              <w:t xml:space="preserve">This KPI measures the efficiency of coordinating logistics and schedules for the operations team.</w:t>
            </w:r>
          </w:p>
        </w:tc>
        <w:tc>
          <w:tcPr>
            <w:tcBorders>
              <w:top w:color="000000" w:space="0" w:sz="0" w:val="nil"/>
              <w:left w:color="d9d9e3" w:space="0" w:sz="6" w:val="single"/>
              <w:bottom w:color="d9d9e3" w:space="0" w:sz="6" w:val="single"/>
              <w:right w:color="d9d9e3" w:space="0" w:sz="6" w:val="single"/>
            </w:tcBorders>
            <w:tcMar>
              <w:top w:w="100.0" w:type="dxa"/>
              <w:left w:w="100.0" w:type="dxa"/>
              <w:bottom w:w="100.0" w:type="dxa"/>
              <w:right w:w="100.0" w:type="dxa"/>
            </w:tcMar>
            <w:vAlign w:val="center"/>
          </w:tcPr>
          <w:p w:rsidR="00000000" w:rsidDel="00000000" w:rsidP="00000000" w:rsidRDefault="00000000" w:rsidRPr="00000000" w14:paraId="00000017">
            <w:pPr>
              <w:spacing w:line="240" w:lineRule="auto"/>
              <w:rPr/>
            </w:pPr>
            <w:r w:rsidDel="00000000" w:rsidR="00000000" w:rsidRPr="00000000">
              <w:rPr>
                <w:rtl w:val="0"/>
              </w:rPr>
              <w:t xml:space="preserve">(Number of Successful Logistics and Schedule Coordination Instances / Total Number of Coordination Instances) x 100</w:t>
            </w:r>
          </w:p>
        </w:tc>
      </w:tr>
      <w:tr>
        <w:trPr>
          <w:cantSplit w:val="0"/>
          <w:trHeight w:val="1775" w:hRule="atLeast"/>
          <w:tblHeader w:val="0"/>
        </w:trPr>
        <w:tc>
          <w:tcPr>
            <w:tcBorders>
              <w:top w:color="000000" w:space="0" w:sz="0" w:val="nil"/>
              <w:left w:color="d9d9e3" w:space="0" w:sz="6" w:val="single"/>
              <w:bottom w:color="d9d9e3"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18">
            <w:pPr>
              <w:spacing w:line="240" w:lineRule="auto"/>
              <w:rPr/>
            </w:pPr>
            <w:r w:rsidDel="00000000" w:rsidR="00000000" w:rsidRPr="00000000">
              <w:rPr>
                <w:rtl w:val="0"/>
              </w:rPr>
              <w:t xml:space="preserve">Data and Documentation Accuracy</w:t>
            </w:r>
          </w:p>
        </w:tc>
        <w:tc>
          <w:tcPr>
            <w:tcBorders>
              <w:top w:color="000000" w:space="0" w:sz="0" w:val="nil"/>
              <w:left w:color="d9d9e3" w:space="0" w:sz="6" w:val="single"/>
              <w:bottom w:color="d9d9e3"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19">
            <w:pPr>
              <w:spacing w:line="240" w:lineRule="auto"/>
              <w:rPr/>
            </w:pPr>
            <w:r w:rsidDel="00000000" w:rsidR="00000000" w:rsidRPr="00000000">
              <w:rPr>
                <w:rtl w:val="0"/>
              </w:rPr>
              <w:t xml:space="preserve">This KPI assesses the accuracy and quality of managing and maintaining data and documentation related to operations.</w:t>
            </w:r>
          </w:p>
        </w:tc>
        <w:tc>
          <w:tcPr>
            <w:tcBorders>
              <w:top w:color="000000" w:space="0" w:sz="0" w:val="nil"/>
              <w:left w:color="d9d9e3" w:space="0" w:sz="6" w:val="single"/>
              <w:bottom w:color="d9d9e3" w:space="0" w:sz="6" w:val="single"/>
              <w:right w:color="d9d9e3" w:space="0" w:sz="6" w:val="single"/>
            </w:tcBorders>
            <w:tcMar>
              <w:top w:w="100.0" w:type="dxa"/>
              <w:left w:w="100.0" w:type="dxa"/>
              <w:bottom w:w="100.0" w:type="dxa"/>
              <w:right w:w="100.0" w:type="dxa"/>
            </w:tcMar>
            <w:vAlign w:val="center"/>
          </w:tcPr>
          <w:p w:rsidR="00000000" w:rsidDel="00000000" w:rsidP="00000000" w:rsidRDefault="00000000" w:rsidRPr="00000000" w14:paraId="0000001A">
            <w:pPr>
              <w:spacing w:line="240" w:lineRule="auto"/>
              <w:rPr/>
            </w:pPr>
            <w:r w:rsidDel="00000000" w:rsidR="00000000" w:rsidRPr="00000000">
              <w:rPr>
                <w:rtl w:val="0"/>
              </w:rPr>
              <w:t xml:space="preserve">(Number of Accurate Data and Documentation Entries / Total Number of Entries) x 100</w:t>
            </w:r>
          </w:p>
        </w:tc>
      </w:tr>
      <w:tr>
        <w:trPr>
          <w:cantSplit w:val="0"/>
          <w:trHeight w:val="2135" w:hRule="atLeast"/>
          <w:tblHeader w:val="0"/>
        </w:trPr>
        <w:tc>
          <w:tcPr>
            <w:tcBorders>
              <w:top w:color="000000" w:space="0" w:sz="0" w:val="nil"/>
              <w:left w:color="d9d9e3" w:space="0" w:sz="6" w:val="single"/>
              <w:bottom w:color="d9d9e3"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1B">
            <w:pPr>
              <w:spacing w:line="240" w:lineRule="auto"/>
              <w:rPr/>
            </w:pPr>
            <w:r w:rsidDel="00000000" w:rsidR="00000000" w:rsidRPr="00000000">
              <w:rPr>
                <w:rtl w:val="0"/>
              </w:rPr>
              <w:t xml:space="preserve">Stakeholder Satisfaction</w:t>
            </w:r>
          </w:p>
        </w:tc>
        <w:tc>
          <w:tcPr>
            <w:tcBorders>
              <w:top w:color="000000" w:space="0" w:sz="0" w:val="nil"/>
              <w:left w:color="d9d9e3" w:space="0" w:sz="6" w:val="single"/>
              <w:bottom w:color="d9d9e3"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1C">
            <w:pPr>
              <w:spacing w:line="240" w:lineRule="auto"/>
              <w:rPr/>
            </w:pPr>
            <w:r w:rsidDel="00000000" w:rsidR="00000000" w:rsidRPr="00000000">
              <w:rPr>
                <w:rtl w:val="0"/>
              </w:rPr>
              <w:t xml:space="preserve">This KPI measures the satisfaction of internal and external stakeholders with the communication and coordination efforts of the operations coordinator.</w:t>
            </w:r>
          </w:p>
        </w:tc>
        <w:tc>
          <w:tcPr>
            <w:tcBorders>
              <w:top w:color="000000" w:space="0" w:sz="0" w:val="nil"/>
              <w:left w:color="d9d9e3" w:space="0" w:sz="6" w:val="single"/>
              <w:bottom w:color="d9d9e3" w:space="0" w:sz="6" w:val="single"/>
              <w:right w:color="d9d9e3" w:space="0" w:sz="6" w:val="single"/>
            </w:tcBorders>
            <w:tcMar>
              <w:top w:w="100.0" w:type="dxa"/>
              <w:left w:w="100.0" w:type="dxa"/>
              <w:bottom w:w="100.0" w:type="dxa"/>
              <w:right w:w="100.0" w:type="dxa"/>
            </w:tcMar>
            <w:vAlign w:val="center"/>
          </w:tcPr>
          <w:p w:rsidR="00000000" w:rsidDel="00000000" w:rsidP="00000000" w:rsidRDefault="00000000" w:rsidRPr="00000000" w14:paraId="0000001D">
            <w:pPr>
              <w:spacing w:line="240" w:lineRule="auto"/>
              <w:rPr/>
            </w:pPr>
            <w:r w:rsidDel="00000000" w:rsidR="00000000" w:rsidRPr="00000000">
              <w:rPr>
                <w:rtl w:val="0"/>
              </w:rPr>
              <w:t xml:space="preserve">Average Stakeholder Satisfaction Survey Results (scale of 1-5)</w:t>
            </w:r>
          </w:p>
        </w:tc>
      </w:tr>
      <w:tr>
        <w:trPr>
          <w:cantSplit w:val="0"/>
          <w:trHeight w:val="1415" w:hRule="atLeast"/>
          <w:tblHeader w:val="0"/>
        </w:trPr>
        <w:tc>
          <w:tcPr>
            <w:tcBorders>
              <w:top w:color="000000" w:space="0" w:sz="0" w:val="nil"/>
              <w:left w:color="d9d9e3" w:space="0" w:sz="6" w:val="single"/>
              <w:bottom w:color="d9d9e3"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1E">
            <w:pPr>
              <w:spacing w:line="240" w:lineRule="auto"/>
              <w:rPr/>
            </w:pPr>
            <w:r w:rsidDel="00000000" w:rsidR="00000000" w:rsidRPr="00000000">
              <w:rPr>
                <w:rtl w:val="0"/>
              </w:rPr>
              <w:t xml:space="preserve">Budget Management Efficiency</w:t>
            </w:r>
          </w:p>
        </w:tc>
        <w:tc>
          <w:tcPr>
            <w:tcBorders>
              <w:top w:color="000000" w:space="0" w:sz="0" w:val="nil"/>
              <w:left w:color="d9d9e3" w:space="0" w:sz="6" w:val="single"/>
              <w:bottom w:color="d9d9e3"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1F">
            <w:pPr>
              <w:spacing w:line="240" w:lineRule="auto"/>
              <w:rPr/>
            </w:pPr>
            <w:r w:rsidDel="00000000" w:rsidR="00000000" w:rsidRPr="00000000">
              <w:rPr>
                <w:rtl w:val="0"/>
              </w:rPr>
              <w:t xml:space="preserve">This KPI assesses the efficiency of assisting with budget management and financial analysis.</w:t>
            </w:r>
          </w:p>
        </w:tc>
        <w:tc>
          <w:tcPr>
            <w:tcBorders>
              <w:top w:color="000000" w:space="0" w:sz="0" w:val="nil"/>
              <w:left w:color="d9d9e3" w:space="0" w:sz="6" w:val="single"/>
              <w:bottom w:color="d9d9e3" w:space="0" w:sz="6" w:val="single"/>
              <w:right w:color="d9d9e3" w:space="0" w:sz="6" w:val="single"/>
            </w:tcBorders>
            <w:tcMar>
              <w:top w:w="100.0" w:type="dxa"/>
              <w:left w:w="100.0" w:type="dxa"/>
              <w:bottom w:w="100.0" w:type="dxa"/>
              <w:right w:w="100.0" w:type="dxa"/>
            </w:tcMar>
            <w:vAlign w:val="center"/>
          </w:tcPr>
          <w:p w:rsidR="00000000" w:rsidDel="00000000" w:rsidP="00000000" w:rsidRDefault="00000000" w:rsidRPr="00000000" w14:paraId="00000020">
            <w:pPr>
              <w:spacing w:line="240" w:lineRule="auto"/>
              <w:rPr/>
            </w:pPr>
            <w:r w:rsidDel="00000000" w:rsidR="00000000" w:rsidRPr="00000000">
              <w:rPr>
                <w:rtl w:val="0"/>
              </w:rPr>
              <w:t xml:space="preserve">(Total Actual Expenses / Total Budgeted Expenses) x 100</w:t>
            </w:r>
          </w:p>
        </w:tc>
      </w:tr>
      <w:tr>
        <w:trPr>
          <w:cantSplit w:val="0"/>
          <w:trHeight w:val="1415" w:hRule="atLeast"/>
          <w:tblHeader w:val="0"/>
        </w:trPr>
        <w:tc>
          <w:tcPr>
            <w:tcBorders>
              <w:top w:color="000000" w:space="0" w:sz="0" w:val="nil"/>
              <w:left w:color="d9d9e3" w:space="0" w:sz="6" w:val="single"/>
              <w:bottom w:color="d9d9e3"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21">
            <w:pPr>
              <w:spacing w:line="240" w:lineRule="auto"/>
              <w:rPr/>
            </w:pPr>
            <w:r w:rsidDel="00000000" w:rsidR="00000000" w:rsidRPr="00000000">
              <w:rPr>
                <w:rtl w:val="0"/>
              </w:rPr>
              <w:t xml:space="preserve">Inventory Management Accuracy</w:t>
            </w:r>
          </w:p>
        </w:tc>
        <w:tc>
          <w:tcPr>
            <w:tcBorders>
              <w:top w:color="000000" w:space="0" w:sz="0" w:val="nil"/>
              <w:left w:color="d9d9e3" w:space="0" w:sz="6" w:val="single"/>
              <w:bottom w:color="d9d9e3"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22">
            <w:pPr>
              <w:spacing w:line="240" w:lineRule="auto"/>
              <w:rPr/>
            </w:pPr>
            <w:r w:rsidDel="00000000" w:rsidR="00000000" w:rsidRPr="00000000">
              <w:rPr>
                <w:rtl w:val="0"/>
              </w:rPr>
              <w:t xml:space="preserve">This KPI measures the accuracy of monitoring and tracking inventory levels.</w:t>
            </w:r>
          </w:p>
        </w:tc>
        <w:tc>
          <w:tcPr>
            <w:tcBorders>
              <w:top w:color="000000" w:space="0" w:sz="0" w:val="nil"/>
              <w:left w:color="d9d9e3" w:space="0" w:sz="6" w:val="single"/>
              <w:bottom w:color="d9d9e3" w:space="0" w:sz="6" w:val="single"/>
              <w:right w:color="d9d9e3" w:space="0" w:sz="6" w:val="single"/>
            </w:tcBorders>
            <w:tcMar>
              <w:top w:w="100.0" w:type="dxa"/>
              <w:left w:w="100.0" w:type="dxa"/>
              <w:bottom w:w="100.0" w:type="dxa"/>
              <w:right w:w="100.0" w:type="dxa"/>
            </w:tcMar>
            <w:vAlign w:val="center"/>
          </w:tcPr>
          <w:p w:rsidR="00000000" w:rsidDel="00000000" w:rsidP="00000000" w:rsidRDefault="00000000" w:rsidRPr="00000000" w14:paraId="00000023">
            <w:pPr>
              <w:spacing w:line="240" w:lineRule="auto"/>
              <w:rPr/>
            </w:pPr>
            <w:r w:rsidDel="00000000" w:rsidR="00000000" w:rsidRPr="00000000">
              <w:rPr>
                <w:rtl w:val="0"/>
              </w:rPr>
              <w:t xml:space="preserve">(Number of Accurate Inventory Counts / Total Number of Inventory Counts) x 100</w:t>
            </w:r>
          </w:p>
        </w:tc>
      </w:tr>
      <w:tr>
        <w:trPr>
          <w:cantSplit w:val="0"/>
          <w:trHeight w:val="1415" w:hRule="atLeast"/>
          <w:tblHeader w:val="0"/>
        </w:trPr>
        <w:tc>
          <w:tcPr>
            <w:tcBorders>
              <w:top w:color="000000" w:space="0" w:sz="0" w:val="nil"/>
              <w:left w:color="d9d9e3" w:space="0" w:sz="6" w:val="single"/>
              <w:bottom w:color="d9d9e3"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24">
            <w:pPr>
              <w:spacing w:line="240" w:lineRule="auto"/>
              <w:rPr/>
            </w:pPr>
            <w:r w:rsidDel="00000000" w:rsidR="00000000" w:rsidRPr="00000000">
              <w:rPr>
                <w:rtl w:val="0"/>
              </w:rPr>
              <w:t xml:space="preserve">Cross-department Alignment</w:t>
            </w:r>
          </w:p>
        </w:tc>
        <w:tc>
          <w:tcPr>
            <w:tcBorders>
              <w:top w:color="000000" w:space="0" w:sz="0" w:val="nil"/>
              <w:left w:color="d9d9e3" w:space="0" w:sz="6" w:val="single"/>
              <w:bottom w:color="d9d9e3"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25">
            <w:pPr>
              <w:spacing w:line="240" w:lineRule="auto"/>
              <w:rPr/>
            </w:pPr>
            <w:r w:rsidDel="00000000" w:rsidR="00000000" w:rsidRPr="00000000">
              <w:rPr>
                <w:rtl w:val="0"/>
              </w:rPr>
              <w:t xml:space="preserve">This KPI assesses the extent to which goals and objectives are aligned with other departments.</w:t>
            </w:r>
          </w:p>
        </w:tc>
        <w:tc>
          <w:tcPr>
            <w:tcBorders>
              <w:top w:color="000000" w:space="0" w:sz="0" w:val="nil"/>
              <w:left w:color="d9d9e3" w:space="0" w:sz="6" w:val="single"/>
              <w:bottom w:color="d9d9e3" w:space="0" w:sz="6" w:val="single"/>
              <w:right w:color="d9d9e3" w:space="0" w:sz="6" w:val="single"/>
            </w:tcBorders>
            <w:tcMar>
              <w:top w:w="100.0" w:type="dxa"/>
              <w:left w:w="100.0" w:type="dxa"/>
              <w:bottom w:w="100.0" w:type="dxa"/>
              <w:right w:w="100.0" w:type="dxa"/>
            </w:tcMar>
            <w:vAlign w:val="center"/>
          </w:tcPr>
          <w:p w:rsidR="00000000" w:rsidDel="00000000" w:rsidP="00000000" w:rsidRDefault="00000000" w:rsidRPr="00000000" w14:paraId="00000026">
            <w:pPr>
              <w:spacing w:line="240" w:lineRule="auto"/>
              <w:rPr/>
            </w:pPr>
            <w:r w:rsidDel="00000000" w:rsidR="00000000" w:rsidRPr="00000000">
              <w:rPr>
                <w:rtl w:val="0"/>
              </w:rPr>
              <w:t xml:space="preserve">Percentage of Operations Department Goals Aligned with Other Departments' Goals</w:t>
            </w:r>
          </w:p>
        </w:tc>
      </w:tr>
      <w:tr>
        <w:trPr>
          <w:cantSplit w:val="0"/>
          <w:trHeight w:val="1775" w:hRule="atLeast"/>
          <w:tblHeader w:val="0"/>
        </w:trPr>
        <w:tc>
          <w:tcPr>
            <w:tcBorders>
              <w:top w:color="000000" w:space="0" w:sz="0" w:val="nil"/>
              <w:left w:color="d9d9e3" w:space="0" w:sz="6" w:val="single"/>
              <w:bottom w:color="d9d9e3"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27">
            <w:pPr>
              <w:spacing w:line="240" w:lineRule="auto"/>
              <w:rPr/>
            </w:pPr>
            <w:r w:rsidDel="00000000" w:rsidR="00000000" w:rsidRPr="00000000">
              <w:rPr>
                <w:rtl w:val="0"/>
              </w:rPr>
              <w:t xml:space="preserve">Operations Team Support Satisfaction</w:t>
            </w:r>
          </w:p>
        </w:tc>
        <w:tc>
          <w:tcPr>
            <w:tcBorders>
              <w:top w:color="000000" w:space="0" w:sz="0" w:val="nil"/>
              <w:left w:color="d9d9e3" w:space="0" w:sz="6" w:val="single"/>
              <w:bottom w:color="d9d9e3"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28">
            <w:pPr>
              <w:spacing w:line="240" w:lineRule="auto"/>
              <w:rPr/>
            </w:pPr>
            <w:r w:rsidDel="00000000" w:rsidR="00000000" w:rsidRPr="00000000">
              <w:rPr>
                <w:rtl w:val="0"/>
              </w:rPr>
              <w:t xml:space="preserve">This KPI measures the satisfaction of the operations team with the support provided by the operations coordinator.</w:t>
            </w:r>
          </w:p>
        </w:tc>
        <w:tc>
          <w:tcPr>
            <w:tcBorders>
              <w:top w:color="000000" w:space="0" w:sz="0" w:val="nil"/>
              <w:left w:color="d9d9e3" w:space="0" w:sz="6" w:val="single"/>
              <w:bottom w:color="d9d9e3" w:space="0" w:sz="6" w:val="single"/>
              <w:right w:color="d9d9e3" w:space="0" w:sz="6" w:val="single"/>
            </w:tcBorders>
            <w:tcMar>
              <w:top w:w="100.0" w:type="dxa"/>
              <w:left w:w="100.0" w:type="dxa"/>
              <w:bottom w:w="100.0" w:type="dxa"/>
              <w:right w:w="100.0" w:type="dxa"/>
            </w:tcMar>
            <w:vAlign w:val="center"/>
          </w:tcPr>
          <w:p w:rsidR="00000000" w:rsidDel="00000000" w:rsidP="00000000" w:rsidRDefault="00000000" w:rsidRPr="00000000" w14:paraId="00000029">
            <w:pPr>
              <w:spacing w:line="240" w:lineRule="auto"/>
              <w:rPr/>
            </w:pPr>
            <w:r w:rsidDel="00000000" w:rsidR="00000000" w:rsidRPr="00000000">
              <w:rPr>
                <w:rtl w:val="0"/>
              </w:rPr>
              <w:t xml:space="preserve">Average Operations Team Support Satisfaction Survey Results (scale of 1-5)</w:t>
            </w:r>
          </w:p>
        </w:tc>
      </w:tr>
      <w:tr>
        <w:trPr>
          <w:cantSplit w:val="0"/>
          <w:trHeight w:val="1415" w:hRule="atLeast"/>
          <w:tblHeader w:val="0"/>
        </w:trPr>
        <w:tc>
          <w:tcPr>
            <w:tcBorders>
              <w:top w:color="000000" w:space="0" w:sz="0" w:val="nil"/>
              <w:left w:color="d9d9e3" w:space="0" w:sz="6" w:val="single"/>
              <w:bottom w:color="d9d9e3"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2A">
            <w:pPr>
              <w:spacing w:line="240" w:lineRule="auto"/>
              <w:rPr/>
            </w:pPr>
            <w:r w:rsidDel="00000000" w:rsidR="00000000" w:rsidRPr="00000000">
              <w:rPr>
                <w:rtl w:val="0"/>
              </w:rPr>
              <w:t xml:space="preserve">Compliance with Legal and Regulatory Requirements</w:t>
            </w:r>
          </w:p>
        </w:tc>
        <w:tc>
          <w:tcPr>
            <w:tcBorders>
              <w:top w:color="000000" w:space="0" w:sz="0" w:val="nil"/>
              <w:left w:color="d9d9e3" w:space="0" w:sz="6" w:val="single"/>
              <w:bottom w:color="d9d9e3"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2B">
            <w:pPr>
              <w:spacing w:line="240" w:lineRule="auto"/>
              <w:rPr/>
            </w:pPr>
            <w:r w:rsidDel="00000000" w:rsidR="00000000" w:rsidRPr="00000000">
              <w:rPr>
                <w:rtl w:val="0"/>
              </w:rPr>
              <w:t xml:space="preserve">This KPI assesses the extent to which operations comply with legal and regulatory requirements.</w:t>
            </w:r>
          </w:p>
        </w:tc>
        <w:tc>
          <w:tcPr>
            <w:tcBorders>
              <w:top w:color="000000" w:space="0" w:sz="0" w:val="nil"/>
              <w:left w:color="d9d9e3" w:space="0" w:sz="6" w:val="single"/>
              <w:bottom w:color="d9d9e3" w:space="0" w:sz="6" w:val="single"/>
              <w:right w:color="d9d9e3" w:space="0" w:sz="6" w:val="single"/>
            </w:tcBorders>
            <w:tcMar>
              <w:top w:w="100.0" w:type="dxa"/>
              <w:left w:w="100.0" w:type="dxa"/>
              <w:bottom w:w="100.0" w:type="dxa"/>
              <w:right w:w="100.0" w:type="dxa"/>
            </w:tcMar>
            <w:vAlign w:val="center"/>
          </w:tcPr>
          <w:p w:rsidR="00000000" w:rsidDel="00000000" w:rsidP="00000000" w:rsidRDefault="00000000" w:rsidRPr="00000000" w14:paraId="0000002C">
            <w:pPr>
              <w:spacing w:line="240" w:lineRule="auto"/>
              <w:rPr/>
            </w:pPr>
            <w:r w:rsidDel="00000000" w:rsidR="00000000" w:rsidRPr="00000000">
              <w:rPr>
                <w:rtl w:val="0"/>
              </w:rPr>
              <w:t xml:space="preserve">Percentage of Legal and Regulatory Compliance Instances</w:t>
            </w:r>
          </w:p>
        </w:tc>
      </w:tr>
      <w:tr>
        <w:trPr>
          <w:cantSplit w:val="0"/>
          <w:trHeight w:val="1415" w:hRule="atLeast"/>
          <w:tblHeader w:val="0"/>
        </w:trPr>
        <w:tc>
          <w:tcPr>
            <w:tcBorders>
              <w:top w:color="000000" w:space="0" w:sz="0" w:val="nil"/>
              <w:left w:color="d9d9e3" w:space="0" w:sz="6" w:val="single"/>
              <w:bottom w:color="d9d9e3"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2D">
            <w:pPr>
              <w:spacing w:line="240" w:lineRule="auto"/>
              <w:rPr/>
            </w:pPr>
            <w:r w:rsidDel="00000000" w:rsidR="00000000" w:rsidRPr="00000000">
              <w:rPr>
                <w:rtl w:val="0"/>
              </w:rPr>
              <w:t xml:space="preserve">Industry Trends Awareness</w:t>
            </w:r>
          </w:p>
        </w:tc>
        <w:tc>
          <w:tcPr>
            <w:tcBorders>
              <w:top w:color="000000" w:space="0" w:sz="0" w:val="nil"/>
              <w:left w:color="d9d9e3" w:space="0" w:sz="6" w:val="single"/>
              <w:bottom w:color="d9d9e3"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2E">
            <w:pPr>
              <w:spacing w:line="240" w:lineRule="auto"/>
              <w:rPr/>
            </w:pPr>
            <w:r w:rsidDel="00000000" w:rsidR="00000000" w:rsidRPr="00000000">
              <w:rPr>
                <w:rtl w:val="0"/>
              </w:rPr>
              <w:t xml:space="preserve">This KPI measures the level of awareness and knowledge of industry trends and competitor activity.</w:t>
            </w:r>
          </w:p>
        </w:tc>
        <w:tc>
          <w:tcPr>
            <w:tcBorders>
              <w:top w:color="000000" w:space="0" w:sz="0" w:val="nil"/>
              <w:left w:color="d9d9e3" w:space="0" w:sz="6" w:val="single"/>
              <w:bottom w:color="d9d9e3" w:space="0" w:sz="6" w:val="single"/>
              <w:right w:color="d9d9e3" w:space="0" w:sz="6" w:val="single"/>
            </w:tcBorders>
            <w:tcMar>
              <w:top w:w="100.0" w:type="dxa"/>
              <w:left w:w="100.0" w:type="dxa"/>
              <w:bottom w:w="100.0" w:type="dxa"/>
              <w:right w:w="100.0" w:type="dxa"/>
            </w:tcMar>
            <w:vAlign w:val="center"/>
          </w:tcPr>
          <w:p w:rsidR="00000000" w:rsidDel="00000000" w:rsidP="00000000" w:rsidRDefault="00000000" w:rsidRPr="00000000" w14:paraId="0000002F">
            <w:pPr>
              <w:spacing w:line="240" w:lineRule="auto"/>
              <w:rPr/>
            </w:pPr>
            <w:r w:rsidDel="00000000" w:rsidR="00000000" w:rsidRPr="00000000">
              <w:rPr>
                <w:rtl w:val="0"/>
              </w:rPr>
              <w:t xml:space="preserve">Number of Industry Trend Reports Submitted</w:t>
            </w:r>
          </w:p>
        </w:tc>
      </w:tr>
      <w:tr>
        <w:trPr>
          <w:cantSplit w:val="0"/>
          <w:trHeight w:val="1775" w:hRule="atLeast"/>
          <w:tblHeader w:val="0"/>
        </w:trPr>
        <w:tc>
          <w:tcPr>
            <w:tcBorders>
              <w:top w:color="000000" w:space="0" w:sz="0" w:val="nil"/>
              <w:left w:color="d9d9e3" w:space="0" w:sz="6" w:val="single"/>
              <w:bottom w:color="d9d9e3"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30">
            <w:pPr>
              <w:spacing w:line="240" w:lineRule="auto"/>
              <w:rPr/>
            </w:pPr>
            <w:r w:rsidDel="00000000" w:rsidR="00000000" w:rsidRPr="00000000">
              <w:rPr>
                <w:rtl w:val="0"/>
              </w:rPr>
              <w:t xml:space="preserve">Operational Performance Feedback</w:t>
            </w:r>
          </w:p>
        </w:tc>
        <w:tc>
          <w:tcPr>
            <w:tcBorders>
              <w:top w:color="000000" w:space="0" w:sz="0" w:val="nil"/>
              <w:left w:color="d9d9e3" w:space="0" w:sz="6" w:val="single"/>
              <w:bottom w:color="d9d9e3" w:space="0" w:sz="6"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31">
            <w:pPr>
              <w:spacing w:line="240" w:lineRule="auto"/>
              <w:rPr/>
            </w:pPr>
            <w:r w:rsidDel="00000000" w:rsidR="00000000" w:rsidRPr="00000000">
              <w:rPr>
                <w:rtl w:val="0"/>
              </w:rPr>
              <w:t xml:space="preserve">This KPI assesses the regularity and quality of feedback provided to management regarding operational performance.</w:t>
            </w:r>
          </w:p>
        </w:tc>
        <w:tc>
          <w:tcPr>
            <w:tcBorders>
              <w:top w:color="000000" w:space="0" w:sz="0" w:val="nil"/>
              <w:left w:color="d9d9e3" w:space="0" w:sz="6" w:val="single"/>
              <w:bottom w:color="d9d9e3" w:space="0" w:sz="6" w:val="single"/>
              <w:right w:color="d9d9e3" w:space="0" w:sz="6" w:val="single"/>
            </w:tcBorders>
            <w:tcMar>
              <w:top w:w="100.0" w:type="dxa"/>
              <w:left w:w="100.0" w:type="dxa"/>
              <w:bottom w:w="100.0" w:type="dxa"/>
              <w:right w:w="100.0" w:type="dxa"/>
            </w:tcMar>
            <w:vAlign w:val="center"/>
          </w:tcPr>
          <w:p w:rsidR="00000000" w:rsidDel="00000000" w:rsidP="00000000" w:rsidRDefault="00000000" w:rsidRPr="00000000" w14:paraId="00000032">
            <w:pPr>
              <w:spacing w:line="240" w:lineRule="auto"/>
              <w:rPr/>
            </w:pPr>
            <w:r w:rsidDel="00000000" w:rsidR="00000000" w:rsidRPr="00000000">
              <w:rPr>
                <w:rtl w:val="0"/>
              </w:rPr>
              <w:t xml:space="preserve">Number of Timely and Actionable Operational Performance Feedback Reports</w:t>
            </w:r>
          </w:p>
        </w:tc>
      </w:tr>
    </w:tbl>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pStyle w:val="Heading2"/>
        <w:rPr/>
      </w:pPr>
      <w:bookmarkStart w:colFirst="0" w:colLast="0" w:name="_jojizqi7k3lt" w:id="3"/>
      <w:bookmarkEnd w:id="3"/>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ind w:left="0" w:firstLine="0"/>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ind w:left="720" w:firstLine="0"/>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pageBreakBefore w:val="0"/>
      <w:jc w:val="right"/>
      <w:rPr/>
    </w:pPr>
    <w:r w:rsidDel="00000000" w:rsidR="00000000" w:rsidRPr="00000000">
      <w:rPr/>
      <w:drawing>
        <wp:inline distB="114300" distT="114300" distL="114300" distR="114300">
          <wp:extent cx="857250" cy="4572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45">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046">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CellMar/>
    </w:tblPr>
    <w:tcPr>
      <w:shd w:fill="f7f7f8"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