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83.46456692913375" w:firstLine="0"/>
        <w:jc w:val="center"/>
        <w:rPr>
          <w:rFonts w:ascii="Open Sans" w:cs="Open Sans" w:eastAsia="Open Sans" w:hAnsi="Open Sans"/>
          <w:sz w:val="26"/>
          <w:szCs w:val="26"/>
        </w:rPr>
      </w:pPr>
      <w:r w:rsidDel="00000000" w:rsidR="00000000" w:rsidRPr="00000000">
        <w:rPr>
          <w:rFonts w:ascii="Open Sans" w:cs="Open Sans" w:eastAsia="Open Sans" w:hAnsi="Open Sans"/>
          <w:b w:val="1"/>
          <w:bCs w:val="1"/>
          <w:sz w:val="42"/>
          <w:szCs w:val="42"/>
          <w:rtl w:val="0"/>
        </w:rPr>
        <w:t xml:space="preserve">Des gestes qui ont des effets</w:t>
      </w:r>
      <w:r w:rsidDel="00000000" w:rsidR="00000000" w:rsidRPr="00000000">
        <w:rPr>
          <w:rtl w:val="0"/>
        </w:rPr>
      </w:r>
    </w:p>
    <w:tbl>
      <w:tblPr>
        <w:tblStyle w:val="Table1"/>
        <w:tblW w:w="14835.0" w:type="dxa"/>
        <w:jc w:val="left"/>
        <w:tblInd w:w="-826.53543307086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gridCol w:w="5370"/>
        <w:gridCol w:w="4665"/>
        <w:tblGridChange w:id="0">
          <w:tblGrid>
            <w:gridCol w:w="4800"/>
            <w:gridCol w:w="5370"/>
            <w:gridCol w:w="4665"/>
          </w:tblGrid>
        </w:tblGridChange>
      </w:tblGrid>
      <w:tr>
        <w:trPr>
          <w:cantSplit w:val="0"/>
          <w:trHeight w:val="3705" w:hRule="atLeast"/>
          <w:tblHeader w:val="0"/>
        </w:trPr>
        <w:tc>
          <w:tcPr>
            <w:tcBorders>
              <w:top w:color="ffffff" w:space="0" w:sz="48" w:val="single"/>
              <w:left w:color="ffffff" w:space="0" w:sz="48" w:val="single"/>
              <w:bottom w:color="ffffff" w:space="0" w:sz="48" w:val="single"/>
              <w:right w:color="ffffff" w:space="0" w:sz="4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2">
            <w:pPr>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b w:val="1"/>
                <w:bCs w:val="1"/>
                <w:rtl w:val="0"/>
              </w:rPr>
              <w:t xml:space="preserve">Faire le défi pissenlit </w:t>
            </w:r>
            <w:r w:rsidDel="00000000" w:rsidR="00000000" w:rsidRPr="00000000">
              <w:rPr>
                <w:rtl w:val="0"/>
              </w:rPr>
            </w:r>
          </w:p>
          <w:p w:rsidR="00000000" w:rsidDel="00000000" w:rsidP="00000000" w:rsidRDefault="00000000" w:rsidRPr="00000000" w14:paraId="00000003">
            <w:pPr>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Lancée il y a déjà deux ans par l’organisme Miel et Co à Portneuf, l’idée du Défi Pissenlits est de retarder la tonte des gazons de quelques semaines pour offrir une source importante de nourriture aux pollinisateurs, et ce, au moment où ils en ont le plus besoin, c’est-à-dire après l’hiver. </w:t>
            </w:r>
          </w:p>
          <w:p w:rsidR="00000000" w:rsidDel="00000000" w:rsidP="00000000" w:rsidRDefault="00000000" w:rsidRPr="00000000" w14:paraId="00000004">
            <w:pPr>
              <w:spacing w:after="40" w:before="40" w:line="216" w:lineRule="auto"/>
              <w:ind w:left="141.73228346456688" w:right="131.10236220472444" w:firstLine="0"/>
              <w:rPr>
                <w:rFonts w:ascii="Open Sans" w:cs="Open Sans" w:eastAsia="Open Sans" w:hAnsi="Open Sans"/>
                <w:sz w:val="16"/>
                <w:szCs w:val="16"/>
              </w:rPr>
            </w:pPr>
            <w:r w:rsidDel="00000000" w:rsidR="00000000" w:rsidRPr="00000000">
              <w:rPr>
                <w:rFonts w:ascii="Open Sans" w:cs="Open Sans" w:eastAsia="Open Sans" w:hAnsi="Open Sans"/>
                <w:sz w:val="18"/>
                <w:szCs w:val="18"/>
                <w:rtl w:val="0"/>
              </w:rPr>
              <w:t xml:space="preserve">Extrait tiré et adapté de </w:t>
            </w:r>
            <w:hyperlink r:id="rId6">
              <w:r w:rsidDel="00000000" w:rsidR="00000000" w:rsidRPr="00000000">
                <w:rPr>
                  <w:rFonts w:ascii="Open Sans" w:cs="Open Sans" w:eastAsia="Open Sans" w:hAnsi="Open Sans"/>
                  <w:color w:val="1155cc"/>
                  <w:sz w:val="16"/>
                  <w:szCs w:val="16"/>
                  <w:u w:val="single"/>
                  <w:rtl w:val="0"/>
                </w:rPr>
                <w:t xml:space="preserve">DE NOMBREUSES MUNICIPALITÉS ET MRC DU QUÉBEC SE JOIGNENT AU DÉFI PISSENLITS</w:t>
              </w:r>
            </w:hyperlink>
            <w:r w:rsidDel="00000000" w:rsidR="00000000" w:rsidRPr="00000000">
              <w:rPr>
                <w:rFonts w:ascii="Open Sans" w:cs="Open Sans" w:eastAsia="Open Sans" w:hAnsi="Open Sans"/>
                <w:sz w:val="16"/>
                <w:szCs w:val="16"/>
                <w:rtl w:val="0"/>
              </w:rPr>
              <w:t xml:space="preserve">!, COMBEQ</w:t>
            </w:r>
          </w:p>
        </w:tc>
        <w:tc>
          <w:tcPr>
            <w:tcBorders>
              <w:top w:color="ffffff" w:space="0" w:sz="48" w:val="single"/>
              <w:left w:color="ffffff" w:space="0" w:sz="48" w:val="single"/>
              <w:bottom w:color="ffffff" w:space="0" w:sz="48" w:val="single"/>
              <w:right w:color="ffffff" w:space="0" w:sz="4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5">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Préserver des zones végétales</w:t>
            </w:r>
          </w:p>
          <w:p w:rsidR="00000000" w:rsidDel="00000000" w:rsidP="00000000" w:rsidRDefault="00000000" w:rsidRPr="00000000" w14:paraId="00000006">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En novembre 2022, Montréal a dévoilé un plan de protection des pollinisateurs pour les cinq prochaines années. Parmi les actions qu’elle propose, la municipalité va accroître la superficie des milieux naturels protégés en les faisant passer de 8 à 10 % sur son territoire. </w:t>
            </w:r>
          </w:p>
          <w:p w:rsidR="00000000" w:rsidDel="00000000" w:rsidP="00000000" w:rsidRDefault="00000000" w:rsidRPr="00000000" w14:paraId="00000007">
            <w:pPr>
              <w:widowControl w:val="0"/>
              <w:spacing w:after="40" w:before="40" w:line="216" w:lineRule="auto"/>
              <w:ind w:left="141.73228346456688" w:right="131.102362204724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Extrait tiré et adapté de </w:t>
            </w:r>
            <w:hyperlink r:id="rId7">
              <w:r w:rsidDel="00000000" w:rsidR="00000000" w:rsidRPr="00000000">
                <w:rPr>
                  <w:rFonts w:ascii="Open Sans" w:cs="Open Sans" w:eastAsia="Open Sans" w:hAnsi="Open Sans"/>
                  <w:color w:val="1155cc"/>
                  <w:sz w:val="18"/>
                  <w:szCs w:val="18"/>
                  <w:u w:val="single"/>
                  <w:rtl w:val="0"/>
                </w:rPr>
                <w:t xml:space="preserve">Comment protéger les abeilles en</w:t>
              </w:r>
            </w:hyperlink>
            <w:hyperlink r:id="rId8">
              <w:r w:rsidDel="00000000" w:rsidR="00000000" w:rsidRPr="00000000">
                <w:rPr>
                  <w:rFonts w:ascii="Open Sans" w:cs="Open Sans" w:eastAsia="Open Sans" w:hAnsi="Open Sans"/>
                  <w:sz w:val="18"/>
                  <w:szCs w:val="18"/>
                  <w:rtl w:val="0"/>
                </w:rPr>
                <w:t xml:space="preserve"> </w:t>
              </w:r>
            </w:hyperlink>
            <w:hyperlink r:id="rId9">
              <w:r w:rsidDel="00000000" w:rsidR="00000000" w:rsidRPr="00000000">
                <w:rPr>
                  <w:rFonts w:ascii="Open Sans" w:cs="Open Sans" w:eastAsia="Open Sans" w:hAnsi="Open Sans"/>
                  <w:color w:val="1155cc"/>
                  <w:sz w:val="18"/>
                  <w:szCs w:val="18"/>
                  <w:u w:val="single"/>
                  <w:rtl w:val="0"/>
                </w:rPr>
                <w:t xml:space="preserve">ville?</w:t>
              </w:r>
            </w:hyperlink>
            <w:r w:rsidDel="00000000" w:rsidR="00000000" w:rsidRPr="00000000">
              <w:rPr>
                <w:rFonts w:ascii="Open Sans" w:cs="Open Sans" w:eastAsia="Open Sans" w:hAnsi="Open Sans"/>
                <w:sz w:val="18"/>
                <w:szCs w:val="18"/>
                <w:rtl w:val="0"/>
              </w:rPr>
              <w:t xml:space="preserve"> Cent Degrés</w:t>
            </w:r>
          </w:p>
        </w:tc>
        <w:tc>
          <w:tcPr>
            <w:tcBorders>
              <w:top w:color="ffffff" w:space="0" w:sz="48" w:val="single"/>
              <w:left w:color="ffffff" w:space="0" w:sz="48" w:val="single"/>
              <w:bottom w:color="ffffff" w:space="0" w:sz="48" w:val="single"/>
              <w:right w:color="ffffff" w:space="0" w:sz="4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Interdire les pesticides par les agriculteurs</w:t>
            </w:r>
          </w:p>
          <w:p w:rsidR="00000000" w:rsidDel="00000000" w:rsidP="00000000" w:rsidRDefault="00000000" w:rsidRPr="00000000" w14:paraId="00000009">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L’Union nationale de l’apiculture française demande l’interdiction des insecticides néonicotinoïdes : ces produits sont néfastes pour les pollinisateurs, mais également pour un ensemble de composantes de la biodiversité comme des études de plus en plus nombreuses en attestent.</w:t>
            </w:r>
          </w:p>
          <w:p w:rsidR="00000000" w:rsidDel="00000000" w:rsidP="00000000" w:rsidRDefault="00000000" w:rsidRPr="00000000" w14:paraId="0000000A">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sz w:val="18"/>
                <w:szCs w:val="18"/>
                <w:rtl w:val="0"/>
              </w:rPr>
              <w:t xml:space="preserve">Extrait tiré et adapté de </w:t>
            </w:r>
            <w:hyperlink r:id="rId10">
              <w:r w:rsidDel="00000000" w:rsidR="00000000" w:rsidRPr="00000000">
                <w:rPr>
                  <w:rFonts w:ascii="Open Sans" w:cs="Open Sans" w:eastAsia="Open Sans" w:hAnsi="Open Sans"/>
                  <w:color w:val="1155cc"/>
                  <w:sz w:val="18"/>
                  <w:szCs w:val="18"/>
                  <w:u w:val="single"/>
                  <w:rtl w:val="0"/>
                </w:rPr>
                <w:t xml:space="preserve">PESTICIDES ET ABEILLES</w:t>
              </w:r>
            </w:hyperlink>
            <w:r w:rsidDel="00000000" w:rsidR="00000000" w:rsidRPr="00000000">
              <w:rPr>
                <w:rFonts w:ascii="Open Sans" w:cs="Open Sans" w:eastAsia="Open Sans" w:hAnsi="Open Sans"/>
                <w:sz w:val="18"/>
                <w:szCs w:val="18"/>
                <w:rtl w:val="0"/>
              </w:rPr>
              <w:t xml:space="preserve">, UNAF</w:t>
            </w:r>
            <w:r w:rsidDel="00000000" w:rsidR="00000000" w:rsidRPr="00000000">
              <w:rPr>
                <w:rtl w:val="0"/>
              </w:rPr>
            </w:r>
          </w:p>
        </w:tc>
      </w:tr>
      <w:tr>
        <w:trPr>
          <w:cantSplit w:val="0"/>
          <w:tblHeader w:val="0"/>
        </w:trPr>
        <w:tc>
          <w:tcPr>
            <w:tcBorders>
              <w:top w:color="ffffff" w:space="0" w:sz="48" w:val="single"/>
              <w:left w:color="ffffff" w:space="0" w:sz="48" w:val="single"/>
              <w:bottom w:color="ffffff" w:space="0" w:sz="48" w:val="single"/>
              <w:right w:color="ffffff" w:space="0" w:sz="4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Planter des espèces mellifères dans son jardin</w:t>
            </w:r>
          </w:p>
          <w:p w:rsidR="00000000" w:rsidDel="00000000" w:rsidP="00000000" w:rsidRDefault="00000000" w:rsidRPr="00000000" w14:paraId="0000000C">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Les plantes mellifères sont les plantes (fleurs, arbres, arbustes) qui produisent de bonnes quantités de nectar et de pollen de qualité pour subvenir aux besoins alimentaires des pollinisateurs.</w:t>
            </w:r>
          </w:p>
          <w:p w:rsidR="00000000" w:rsidDel="00000000" w:rsidP="00000000" w:rsidRDefault="00000000" w:rsidRPr="00000000" w14:paraId="0000000D">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Les pollinisateurs vont venir sur ces plantes pour récolter le nectar et le pollen nécessaire pour se nourrir, et vont à leur passage disséminer le pollen de fleur en fleur, participant ainsi à leur fécondation et donc à la reproduction des plantes.</w:t>
            </w:r>
          </w:p>
          <w:p w:rsidR="00000000" w:rsidDel="00000000" w:rsidP="00000000" w:rsidRDefault="00000000" w:rsidRPr="00000000" w14:paraId="0000000F">
            <w:pPr>
              <w:widowControl w:val="0"/>
              <w:spacing w:after="40" w:before="40" w:line="216" w:lineRule="auto"/>
              <w:ind w:left="141.73228346456688" w:right="131.102362204724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Extrait tiré et adapté de </w:t>
            </w:r>
            <w:hyperlink r:id="rId11">
              <w:r w:rsidDel="00000000" w:rsidR="00000000" w:rsidRPr="00000000">
                <w:rPr>
                  <w:rFonts w:ascii="Open Sans" w:cs="Open Sans" w:eastAsia="Open Sans" w:hAnsi="Open Sans"/>
                  <w:color w:val="1155cc"/>
                  <w:sz w:val="18"/>
                  <w:szCs w:val="18"/>
                  <w:u w:val="single"/>
                  <w:rtl w:val="0"/>
                </w:rPr>
                <w:t xml:space="preserve">Cultiver des plantes mellifères pour contribuer à la sauvegarde des pollinisateurs</w:t>
              </w:r>
            </w:hyperlink>
            <w:r w:rsidDel="00000000" w:rsidR="00000000" w:rsidRPr="00000000">
              <w:rPr>
                <w:rFonts w:ascii="Open Sans" w:cs="Open Sans" w:eastAsia="Open Sans" w:hAnsi="Open Sans"/>
                <w:sz w:val="18"/>
                <w:szCs w:val="18"/>
                <w:rtl w:val="0"/>
              </w:rPr>
              <w:t xml:space="preserve">, Fondation pour la nature et l’homme</w:t>
            </w:r>
          </w:p>
        </w:tc>
        <w:tc>
          <w:tcPr>
            <w:tcBorders>
              <w:top w:color="ffffff" w:space="0" w:sz="48" w:val="single"/>
              <w:left w:color="ffffff" w:space="0" w:sz="48" w:val="single"/>
              <w:bottom w:color="ffffff" w:space="0" w:sz="48" w:val="single"/>
              <w:right w:color="ffffff" w:space="0" w:sz="4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Installer des ruches en ville</w:t>
            </w:r>
          </w:p>
          <w:p w:rsidR="00000000" w:rsidDel="00000000" w:rsidP="00000000" w:rsidRDefault="00000000" w:rsidRPr="00000000" w14:paraId="00000011">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L'apiculture urbaine s'inscrit dans un mouvement mondial pour la sauvegarde des abeilles. Par leur travail de pollinisation, elles contribuent en contrepartie à la reproduction des végétaux et à l’abondance des récoltes urbaines. </w:t>
            </w:r>
          </w:p>
          <w:p w:rsidR="00000000" w:rsidDel="00000000" w:rsidP="00000000" w:rsidRDefault="00000000" w:rsidRPr="00000000" w14:paraId="00000012">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Mais ce n'est pas tant parce que la ville constitue un refuge pour les abeilles que l'apiculture urbaine peut contribuer à la sauvegarde de cet insecte. C'est surtout parce que cette pratique est une occasion de sensibiliser les populations urbaines aux causes du déclin des abeilles, de rebrancher les urbains à la source de leur alimentation, de transmettre des savoirs en apiculture et de promouvoir la biodiversité.</w:t>
            </w:r>
          </w:p>
          <w:p w:rsidR="00000000" w:rsidDel="00000000" w:rsidP="00000000" w:rsidRDefault="00000000" w:rsidRPr="00000000" w14:paraId="00000014">
            <w:pPr>
              <w:widowControl w:val="0"/>
              <w:spacing w:after="40" w:before="40" w:line="216" w:lineRule="auto"/>
              <w:ind w:left="141.73228346456688" w:right="131.102362204724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Extrait tiré et adapté de </w:t>
            </w:r>
            <w:hyperlink r:id="rId12">
              <w:r w:rsidDel="00000000" w:rsidR="00000000" w:rsidRPr="00000000">
                <w:rPr>
                  <w:rFonts w:ascii="Open Sans" w:cs="Open Sans" w:eastAsia="Open Sans" w:hAnsi="Open Sans"/>
                  <w:color w:val="1155cc"/>
                  <w:sz w:val="18"/>
                  <w:szCs w:val="18"/>
                  <w:u w:val="single"/>
                  <w:rtl w:val="0"/>
                </w:rPr>
                <w:t xml:space="preserve">Apiculture urbaine,</w:t>
              </w:r>
            </w:hyperlink>
            <w:r w:rsidDel="00000000" w:rsidR="00000000" w:rsidRPr="00000000">
              <w:rPr>
                <w:rFonts w:ascii="Open Sans" w:cs="Open Sans" w:eastAsia="Open Sans" w:hAnsi="Open Sans"/>
                <w:sz w:val="18"/>
                <w:szCs w:val="18"/>
                <w:rtl w:val="0"/>
              </w:rPr>
              <w:t xml:space="preserve"> Cultive ta ville</w:t>
            </w:r>
          </w:p>
        </w:tc>
        <w:tc>
          <w:tcPr>
            <w:tcBorders>
              <w:top w:color="ffffff" w:space="0" w:sz="48" w:val="single"/>
              <w:left w:color="ffffff" w:space="0" w:sz="48" w:val="single"/>
              <w:bottom w:color="ffffff" w:space="0" w:sz="48" w:val="single"/>
              <w:right w:color="ffffff" w:space="0" w:sz="4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Manger bio</w:t>
            </w:r>
          </w:p>
          <w:p w:rsidR="00000000" w:rsidDel="00000000" w:rsidP="00000000" w:rsidRDefault="00000000" w:rsidRPr="00000000" w14:paraId="00000016">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Manger bio signifie manger des œufs, des produits laitiers, des fruits, des légumes, de la viande et autres aliments provenant d’une agriculture biologique.</w:t>
            </w:r>
          </w:p>
          <w:p w:rsidR="00000000" w:rsidDel="00000000" w:rsidP="00000000" w:rsidRDefault="00000000" w:rsidRPr="00000000" w14:paraId="00000017">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widowControl w:val="0"/>
              <w:spacing w:after="40" w:before="40" w:line="216" w:lineRule="auto"/>
              <w:ind w:left="141.73228346456688" w:right="131.10236220472444" w:firstLine="0"/>
              <w:rPr>
                <w:rFonts w:ascii="Open Sans" w:cs="Open Sans" w:eastAsia="Open Sans" w:hAnsi="Open Sans"/>
              </w:rPr>
            </w:pPr>
            <w:r w:rsidDel="00000000" w:rsidR="00000000" w:rsidRPr="00000000">
              <w:rPr>
                <w:rFonts w:ascii="Open Sans" w:cs="Open Sans" w:eastAsia="Open Sans" w:hAnsi="Open Sans"/>
                <w:rtl w:val="0"/>
              </w:rPr>
              <w:t xml:space="preserve">En agriculture bio, le recours aux rotations diversifiées de cultures favorise la biodiversité en permettant de multiplier les espaces naturels où les abeilles peuvent puiser en toute quiétude leurs ressources alimentaires, comme le pollen, qui demeure leur unique source de protéines.</w:t>
            </w:r>
          </w:p>
          <w:p w:rsidR="00000000" w:rsidDel="00000000" w:rsidP="00000000" w:rsidRDefault="00000000" w:rsidRPr="00000000" w14:paraId="00000019">
            <w:pPr>
              <w:widowControl w:val="0"/>
              <w:spacing w:after="40" w:before="40" w:line="216" w:lineRule="auto"/>
              <w:ind w:left="141.73228346456688" w:right="131.10236220472444" w:firstLine="0"/>
              <w:rPr>
                <w:rFonts w:ascii="Open Sans" w:cs="Open Sans" w:eastAsia="Open Sans" w:hAnsi="Open Sans"/>
                <w:b w:val="1"/>
                <w:bCs w:val="1"/>
              </w:rPr>
            </w:pPr>
            <w:r w:rsidDel="00000000" w:rsidR="00000000" w:rsidRPr="00000000">
              <w:rPr>
                <w:rFonts w:ascii="Open Sans" w:cs="Open Sans" w:eastAsia="Open Sans" w:hAnsi="Open Sans"/>
                <w:sz w:val="18"/>
                <w:szCs w:val="18"/>
                <w:rtl w:val="0"/>
              </w:rPr>
              <w:t xml:space="preserve">Extrait tiré et adapté de </w:t>
            </w:r>
            <w:hyperlink r:id="rId13">
              <w:r w:rsidDel="00000000" w:rsidR="00000000" w:rsidRPr="00000000">
                <w:rPr>
                  <w:rFonts w:ascii="Open Sans" w:cs="Open Sans" w:eastAsia="Open Sans" w:hAnsi="Open Sans"/>
                  <w:color w:val="1155cc"/>
                  <w:sz w:val="18"/>
                  <w:szCs w:val="18"/>
                  <w:u w:val="single"/>
                  <w:rtl w:val="0"/>
                </w:rPr>
                <w:t xml:space="preserve">Manger bio : un choix sensé pour la sauvegarde des abeilles</w:t>
              </w:r>
            </w:hyperlink>
            <w:r w:rsidDel="00000000" w:rsidR="00000000" w:rsidRPr="00000000">
              <w:rPr>
                <w:rFonts w:ascii="Open Sans" w:cs="Open Sans" w:eastAsia="Open Sans" w:hAnsi="Open Sans"/>
                <w:sz w:val="18"/>
                <w:szCs w:val="18"/>
                <w:rtl w:val="0"/>
              </w:rPr>
              <w:t xml:space="preserve">, Québec Bio</w:t>
            </w:r>
            <w:r w:rsidDel="00000000" w:rsidR="00000000" w:rsidRPr="00000000">
              <w:rPr>
                <w:rtl w:val="0"/>
              </w:rPr>
            </w:r>
          </w:p>
        </w:tc>
      </w:tr>
    </w:tbl>
    <w:p w:rsidR="00000000" w:rsidDel="00000000" w:rsidP="00000000" w:rsidRDefault="00000000" w:rsidRPr="00000000" w14:paraId="0000001A">
      <w:pPr>
        <w:spacing w:line="240" w:lineRule="auto"/>
        <w:ind w:left="0" w:firstLine="0"/>
        <w:rPr>
          <w:sz w:val="2"/>
          <w:szCs w:val="2"/>
        </w:rPr>
      </w:pPr>
      <w:r w:rsidDel="00000000" w:rsidR="00000000" w:rsidRPr="00000000">
        <w:rPr>
          <w:rtl w:val="0"/>
        </w:rPr>
      </w:r>
    </w:p>
    <w:sectPr>
      <w:footerReference r:id="rId14" w:type="default"/>
      <w:pgSz w:h="12240" w:w="15840" w:orient="landscape"/>
      <w:pgMar w:bottom="283.4645669291338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hyperlink r:id="rId1">
      <w:r w:rsidDel="00000000" w:rsidR="00000000" w:rsidRPr="00000000">
        <w:rPr>
          <w:color w:val="1155cc"/>
          <w:u w:val="single"/>
        </w:rPr>
        <w:drawing>
          <wp:inline distB="114300" distT="114300" distL="114300" distR="114300">
            <wp:extent cx="647700" cy="223838"/>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47700" cy="223838"/>
                    </a:xfrm>
                    <a:prstGeom prst="rect"/>
                    <a:ln/>
                  </pic:spPr>
                </pic:pic>
              </a:graphicData>
            </a:graphic>
          </wp:inline>
        </w:drawing>
      </w:r>
    </w:hyperlink>
    <w:hyperlink r:id="rId3">
      <w:r w:rsidDel="00000000" w:rsidR="00000000" w:rsidRPr="00000000">
        <w:rPr>
          <w:color w:val="1155cc"/>
          <w:u w:val="single"/>
        </w:rPr>
        <w:drawing>
          <wp:inline distB="19050" distT="19050" distL="19050" distR="19050">
            <wp:extent cx="271598" cy="271598"/>
            <wp:effectExtent b="0" l="0" r="0" t="0"/>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271598" cy="271598"/>
                    </a:xfrm>
                    <a:prstGeom prst="rect"/>
                    <a:ln/>
                  </pic:spPr>
                </pic:pic>
              </a:graphicData>
            </a:graphic>
          </wp:inline>
        </w:drawing>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nh.org/cultiver-des-plantes-melliferes-pour-contribuer-a-la-sauvegarde-des-abeilles-et-dautres-pollinisateurs/" TargetMode="External"/><Relationship Id="rId10" Type="http://schemas.openxmlformats.org/officeDocument/2006/relationships/hyperlink" Target="https://www.unaf-apiculture.info/nos-actions/pesticides-et-abeilles.html#:~:text=Les%20n%C3%A9onicotino%C3%AFdes%20sont%20une%20classe,le%20pollen%20et%20le%20nectar." TargetMode="External"/><Relationship Id="rId13" Type="http://schemas.openxmlformats.org/officeDocument/2006/relationships/hyperlink" Target="https://quebecbio.com/blogue/actualites/116/manger-bio-un-choix-sense-pour-la-sauvegarde-des-abeilles" TargetMode="External"/><Relationship Id="rId12" Type="http://schemas.openxmlformats.org/officeDocument/2006/relationships/hyperlink" Target="https://cultivetaville.com/encyclopedie/apiculture-urba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ntdegres.ca/ressources/comment-proteger-les-abeilles-en-vill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ombeq.qc.ca/2022/05/11/de-nombreuses-municipalites-et-mrc-du-quebec-se-joignent-au-defi-pissenlits/" TargetMode="External"/><Relationship Id="rId7" Type="http://schemas.openxmlformats.org/officeDocument/2006/relationships/hyperlink" Target="https://centdegres.ca/ressources/comment-proteger-les-abeilles-en-ville" TargetMode="External"/><Relationship Id="rId8" Type="http://schemas.openxmlformats.org/officeDocument/2006/relationships/hyperlink" Target="https://centdegres.ca/ressources/comment-proteger-les-abeilles-en-vil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deed.fr" TargetMode="External"/><Relationship Id="rId2" Type="http://schemas.openxmlformats.org/officeDocument/2006/relationships/image" Target="media/image1.png"/><Relationship Id="rId3" Type="http://schemas.openxmlformats.org/officeDocument/2006/relationships/hyperlink" Target="https://recitdp.qc.c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