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="431.9999885559082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Vernerunde-skjema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431.9999885559082" w:lineRule="auto"/>
        <w:rPr>
          <w:rFonts w:ascii="Arial" w:cs="Arial" w:eastAsia="Arial" w:hAnsi="Arial"/>
          <w:i w:val="1"/>
          <w:color w:val="555555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555555"/>
          <w:sz w:val="18"/>
          <w:szCs w:val="18"/>
          <w:rtl w:val="0"/>
        </w:rPr>
        <w:t xml:space="preserve">Skjema for å planlegge, gjennomføre og dokumentere vernerunder som en del av systematisk HMS-arbeid. Hensikten er å identifisere risikoer og sikre oppfølging av nødvendige tiltak for et trygt arbeidsmiljø.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VERNERUNDE-SKJEMA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Skjema for å planlegge, gjennomføre og dokumentere vernerunder som en del av systematisk HMS-arbeid. Hensikten er å identifisere risikoer og sikre oppfølging av nødvendige tiltak for et trygt arbeidsmiljø.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Dato for vernerunde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Ansvarlige personer for vernerunde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Sjekkpunkter for fysiske arbeidsmiljøfaktorer (f.eks. ventilasjon, belysning, arbeidsutstyr)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Sjekkpunkter for psykiske arbeidsmiljøfaktorer (f.eks. trivsel, arbeidsbelastning)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Identifiserte risikoer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Tiltak planlagt for å adressere risikoer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Tiltak utført og status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Tilbakemelding fra ansatte etter implementering av tiltak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Eventuelle behov for videre oppfølging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Signaturer (ansvarlige for oppfølging)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