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9lttwhat2e3" w:id="0"/>
      <w:bookmarkEnd w:id="0"/>
      <w:r w:rsidDel="00000000" w:rsidR="00000000" w:rsidRPr="00000000">
        <w:rPr>
          <w:rtl w:val="0"/>
        </w:rPr>
        <w:t xml:space="preserve">JD For Casino Host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Title: Casino Host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45m2s8rlfv8g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Casino Host is responsible for providing exceptional service to high-end casino guests, including VIPs, celebrities, and high rollers. This individual will be responsible for building and maintaining relationships with these guests, ensuring their satisfaction and return to the casino.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iday9b2rxsj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 and maintain relationships with high-end casino guests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guest satisfaction and return to the casino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Coordinate and assist with guest needs, including reservations, transportation, and special requests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VIP guests with exceptional service and personalized attention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Keep accurate records of guest interactions and preferences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 closely with casino management and other departments to ensure a seamless guest experience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gentm8lv80db" w:id="3"/>
      <w:bookmarkEnd w:id="3"/>
      <w:r w:rsidDel="00000000" w:rsidR="00000000" w:rsidRPr="00000000">
        <w:rPr>
          <w:rtl w:val="0"/>
        </w:rPr>
        <w:t xml:space="preserve">Competency Requirements: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Strong communication and interpersonal skills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Excellent customer service skills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Ability to work well under pressure and handle high-stress situations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Strong organizational and multitasking skills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Knowledge of casino operations and procedures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Ability to work flexible hours, including evenings, weekends, and holidays</w:t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ygzv41gqmuu6" w:id="4"/>
      <w:bookmarkEnd w:id="4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High school diploma or equivalent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Minimum of 2 years of experience in a customer service or hospitality role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working in a casino or high-end service environment preferred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Ability to pass a background check and obtain a gaming license as required by state law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jc w:val="right"/>
      <w:rPr/>
    </w:pP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membership.chrm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