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776D" w14:textId="77777777" w:rsidR="00915609" w:rsidRDefault="00361C24">
      <w:pPr>
        <w:pStyle w:val="Title"/>
        <w:spacing w:after="0"/>
        <w:rPr>
          <w:color w:val="2F3185"/>
          <w:sz w:val="30"/>
          <w:szCs w:val="30"/>
        </w:rPr>
      </w:pPr>
      <w:r>
        <w:rPr>
          <w:color w:val="2F3185"/>
          <w:sz w:val="30"/>
          <w:szCs w:val="30"/>
        </w:rPr>
        <w:t>The Title of the Article (15pt, Bold, Calibri (Body), No More Than 15 Words)</w:t>
      </w:r>
    </w:p>
    <w:p w14:paraId="49486CD6" w14:textId="77777777" w:rsidR="00915609" w:rsidRDefault="00361C24">
      <w:pPr>
        <w:spacing w:after="0"/>
        <w:ind w:hanging="198"/>
        <w:jc w:val="center"/>
        <w:rPr>
          <w:sz w:val="22"/>
          <w:szCs w:val="22"/>
        </w:rPr>
      </w:pPr>
      <w:r>
        <w:rPr>
          <w:sz w:val="22"/>
          <w:szCs w:val="22"/>
        </w:rPr>
        <w:t>The title shall be clear, brief, informative, creative, and interesting to the reader. Avoid using the terms "effect", "relationships", and "case studies" in the titles. It is unnecessary to include the research location in the title because it is describe</w:t>
      </w:r>
      <w:r>
        <w:rPr>
          <w:sz w:val="22"/>
          <w:szCs w:val="22"/>
        </w:rPr>
        <w:t>d in the "Methods" section.</w:t>
      </w:r>
    </w:p>
    <w:p w14:paraId="7A841838" w14:textId="77777777" w:rsidR="00915609" w:rsidRDefault="00361C24">
      <w:pPr>
        <w:spacing w:after="0"/>
        <w:ind w:hanging="198"/>
        <w:jc w:val="center"/>
        <w:rPr>
          <w:b/>
          <w:bCs/>
          <w:sz w:val="22"/>
          <w:szCs w:val="22"/>
        </w:rPr>
      </w:pPr>
      <w:proofErr w:type="spellStart"/>
      <w:r>
        <w:rPr>
          <w:b/>
          <w:bCs/>
          <w:sz w:val="22"/>
          <w:szCs w:val="22"/>
        </w:rPr>
        <w:t>Firstname</w:t>
      </w:r>
      <w:proofErr w:type="spellEnd"/>
      <w:r>
        <w:rPr>
          <w:b/>
          <w:bCs/>
          <w:sz w:val="22"/>
          <w:szCs w:val="22"/>
        </w:rPr>
        <w:t xml:space="preserve"> Lastname</w:t>
      </w:r>
      <w:r>
        <w:rPr>
          <w:b/>
          <w:bCs/>
          <w:sz w:val="22"/>
          <w:szCs w:val="22"/>
          <w:vertAlign w:val="superscript"/>
        </w:rPr>
        <w:t>1</w:t>
      </w:r>
      <w:r>
        <w:rPr>
          <w:b/>
          <w:bCs/>
          <w:sz w:val="22"/>
          <w:szCs w:val="22"/>
        </w:rPr>
        <w:t xml:space="preserve">, </w:t>
      </w:r>
      <w:proofErr w:type="spellStart"/>
      <w:r>
        <w:rPr>
          <w:b/>
          <w:bCs/>
          <w:sz w:val="22"/>
          <w:szCs w:val="22"/>
        </w:rPr>
        <w:t>Firstname</w:t>
      </w:r>
      <w:proofErr w:type="spellEnd"/>
      <w:r>
        <w:rPr>
          <w:b/>
          <w:bCs/>
          <w:sz w:val="22"/>
          <w:szCs w:val="22"/>
        </w:rPr>
        <w:t xml:space="preserve"> Lastname</w:t>
      </w:r>
      <w:r>
        <w:rPr>
          <w:b/>
          <w:bCs/>
          <w:sz w:val="22"/>
          <w:szCs w:val="22"/>
          <w:vertAlign w:val="superscript"/>
        </w:rPr>
        <w:t>2</w:t>
      </w:r>
      <w:r>
        <w:rPr>
          <w:b/>
          <w:bCs/>
          <w:sz w:val="22"/>
          <w:szCs w:val="22"/>
        </w:rPr>
        <w:t xml:space="preserve"> and </w:t>
      </w:r>
      <w:proofErr w:type="spellStart"/>
      <w:r>
        <w:rPr>
          <w:b/>
          <w:bCs/>
          <w:sz w:val="22"/>
          <w:szCs w:val="22"/>
        </w:rPr>
        <w:t>Firstname</w:t>
      </w:r>
      <w:proofErr w:type="spellEnd"/>
      <w:r>
        <w:rPr>
          <w:b/>
          <w:bCs/>
          <w:sz w:val="22"/>
          <w:szCs w:val="22"/>
        </w:rPr>
        <w:t xml:space="preserve"> Lastname</w:t>
      </w:r>
      <w:proofErr w:type="gramStart"/>
      <w:r>
        <w:rPr>
          <w:b/>
          <w:bCs/>
          <w:sz w:val="22"/>
          <w:szCs w:val="22"/>
          <w:vertAlign w:val="superscript"/>
        </w:rPr>
        <w:t>2,*</w:t>
      </w:r>
      <w:proofErr w:type="gramEnd"/>
    </w:p>
    <w:p w14:paraId="38A20B50" w14:textId="77777777" w:rsidR="00915609" w:rsidRDefault="00361C24">
      <w:pPr>
        <w:spacing w:after="0"/>
        <w:ind w:hanging="198"/>
        <w:jc w:val="center"/>
        <w:rPr>
          <w:sz w:val="22"/>
          <w:szCs w:val="22"/>
        </w:rPr>
      </w:pPr>
      <w:r>
        <w:rPr>
          <w:sz w:val="22"/>
          <w:szCs w:val="22"/>
          <w:vertAlign w:val="superscript"/>
        </w:rPr>
        <w:t>1</w:t>
      </w:r>
      <w:r>
        <w:rPr>
          <w:sz w:val="22"/>
          <w:szCs w:val="22"/>
        </w:rPr>
        <w:t>Affiliation 1</w:t>
      </w:r>
    </w:p>
    <w:p w14:paraId="3B98D65A" w14:textId="77777777" w:rsidR="00915609" w:rsidRDefault="00361C24">
      <w:pPr>
        <w:spacing w:after="0"/>
        <w:ind w:hanging="198"/>
        <w:jc w:val="center"/>
        <w:rPr>
          <w:sz w:val="22"/>
          <w:szCs w:val="22"/>
        </w:rPr>
      </w:pPr>
      <w:r>
        <w:rPr>
          <w:sz w:val="22"/>
          <w:szCs w:val="22"/>
          <w:vertAlign w:val="superscript"/>
        </w:rPr>
        <w:t>2</w:t>
      </w:r>
      <w:r>
        <w:rPr>
          <w:sz w:val="22"/>
          <w:szCs w:val="22"/>
        </w:rPr>
        <w:t>Affiliation 2</w:t>
      </w:r>
    </w:p>
    <w:p w14:paraId="71640FD0" w14:textId="77777777" w:rsidR="00915609" w:rsidRDefault="00361C24">
      <w:pPr>
        <w:spacing w:after="0"/>
        <w:ind w:hanging="198"/>
        <w:jc w:val="center"/>
        <w:rPr>
          <w:i/>
          <w:iCs/>
          <w:sz w:val="22"/>
          <w:szCs w:val="22"/>
        </w:rPr>
      </w:pPr>
      <w:r>
        <w:rPr>
          <w:sz w:val="22"/>
          <w:szCs w:val="22"/>
        </w:rPr>
        <w:t xml:space="preserve">*Corresponding Author’s email: </w:t>
      </w:r>
      <w:hyperlink r:id="rId8">
        <w:r>
          <w:rPr>
            <w:i/>
            <w:iCs/>
            <w:color w:val="0000FF"/>
            <w:sz w:val="22"/>
            <w:szCs w:val="22"/>
            <w:u w:val="single"/>
          </w:rPr>
          <w:t>e-mail@e-mail.com</w:t>
        </w:r>
      </w:hyperlink>
    </w:p>
    <w:p w14:paraId="26BF8597" w14:textId="77777777" w:rsidR="00915609" w:rsidRDefault="00915609">
      <w:pPr>
        <w:spacing w:after="0"/>
        <w:ind w:hanging="198"/>
        <w:jc w:val="center"/>
        <w:rPr>
          <w:i/>
          <w:iCs/>
          <w:sz w:val="22"/>
          <w:szCs w:val="22"/>
        </w:rPr>
      </w:pPr>
    </w:p>
    <w:p w14:paraId="1C74C268" w14:textId="77777777" w:rsidR="00915609" w:rsidRDefault="00361C24">
      <w:pPr>
        <w:spacing w:after="0"/>
        <w:jc w:val="both"/>
        <w:rPr>
          <w:color w:val="0070C0"/>
          <w:sz w:val="22"/>
          <w:szCs w:val="22"/>
        </w:rPr>
      </w:pPr>
      <w:r>
        <w:rPr>
          <w:b/>
          <w:bCs/>
          <w:color w:val="2F3185"/>
        </w:rPr>
        <w:t>How to cite:</w:t>
      </w:r>
      <w:r>
        <w:rPr>
          <w:b/>
          <w:bCs/>
          <w:color w:val="2F3185"/>
          <w:sz w:val="22"/>
          <w:szCs w:val="22"/>
        </w:rPr>
        <w:t xml:space="preserve"> </w:t>
      </w:r>
      <w:proofErr w:type="spellStart"/>
      <w:r>
        <w:rPr>
          <w:color w:val="2F3185"/>
        </w:rPr>
        <w:t>xxxxxxxxxxxxxxxxxxxxxxxx</w:t>
      </w:r>
      <w:r>
        <w:rPr>
          <w:color w:val="2F3185"/>
        </w:rPr>
        <w:t>xxxxx</w:t>
      </w:r>
      <w:proofErr w:type="spellEnd"/>
    </w:p>
    <w:p w14:paraId="4652CD5F" w14:textId="77777777" w:rsidR="00915609" w:rsidRDefault="00915609">
      <w:pPr>
        <w:spacing w:after="0"/>
        <w:ind w:hanging="198"/>
        <w:jc w:val="center"/>
        <w:rPr>
          <w:color w:val="000000"/>
          <w:sz w:val="22"/>
          <w:szCs w:val="22"/>
        </w:rPr>
      </w:pPr>
    </w:p>
    <w:tbl>
      <w:tblPr>
        <w:tblStyle w:val="a6"/>
        <w:tblW w:w="9214" w:type="dxa"/>
        <w:tblBorders>
          <w:top w:val="single" w:sz="12" w:space="0" w:color="2F3185"/>
          <w:left w:val="single" w:sz="12" w:space="0" w:color="2F3185"/>
          <w:bottom w:val="single" w:sz="12" w:space="0" w:color="2F3185"/>
          <w:right w:val="single" w:sz="12" w:space="0" w:color="2F3185"/>
        </w:tblBorders>
        <w:tblLayout w:type="fixed"/>
        <w:tblLook w:val="0400" w:firstRow="0" w:lastRow="0" w:firstColumn="0" w:lastColumn="0" w:noHBand="0" w:noVBand="1"/>
      </w:tblPr>
      <w:tblGrid>
        <w:gridCol w:w="2263"/>
        <w:gridCol w:w="6951"/>
      </w:tblGrid>
      <w:tr w:rsidR="00915609" w14:paraId="22FAE744" w14:textId="77777777">
        <w:trPr>
          <w:trHeight w:val="281"/>
        </w:trPr>
        <w:tc>
          <w:tcPr>
            <w:tcW w:w="2263" w:type="dxa"/>
            <w:shd w:val="clear" w:color="auto" w:fill="E5DFEC"/>
          </w:tcPr>
          <w:p w14:paraId="719D9B30" w14:textId="77777777" w:rsidR="00915609" w:rsidRDefault="00915609">
            <w:pPr>
              <w:pBdr>
                <w:top w:val="nil"/>
                <w:left w:val="nil"/>
                <w:bottom w:val="nil"/>
                <w:right w:val="nil"/>
                <w:between w:val="nil"/>
              </w:pBdr>
              <w:spacing w:after="0"/>
              <w:ind w:left="176" w:right="166"/>
              <w:jc w:val="center"/>
              <w:rPr>
                <w:rFonts w:ascii="Calibri" w:eastAsia="Calibri" w:hAnsi="Calibri" w:cs="Calibri"/>
                <w:b/>
                <w:bCs/>
                <w:color w:val="2F3185"/>
                <w:sz w:val="22"/>
                <w:szCs w:val="22"/>
              </w:rPr>
            </w:pPr>
          </w:p>
        </w:tc>
        <w:tc>
          <w:tcPr>
            <w:tcW w:w="6951" w:type="dxa"/>
            <w:shd w:val="clear" w:color="auto" w:fill="E5DFEC"/>
          </w:tcPr>
          <w:p w14:paraId="46576CEF" w14:textId="77777777" w:rsidR="00915609" w:rsidRDefault="00361C24">
            <w:pPr>
              <w:pBdr>
                <w:top w:val="nil"/>
                <w:left w:val="nil"/>
                <w:bottom w:val="nil"/>
                <w:right w:val="nil"/>
                <w:between w:val="nil"/>
              </w:pBdr>
              <w:spacing w:after="0"/>
              <w:ind w:left="284" w:right="284"/>
              <w:jc w:val="center"/>
              <w:rPr>
                <w:rFonts w:ascii="Calibri" w:eastAsia="Calibri" w:hAnsi="Calibri" w:cs="Calibri"/>
                <w:b/>
                <w:bCs/>
                <w:color w:val="2F3185"/>
                <w:sz w:val="22"/>
                <w:szCs w:val="22"/>
              </w:rPr>
            </w:pPr>
            <w:r>
              <w:rPr>
                <w:rFonts w:ascii="Calibri" w:eastAsia="Calibri" w:hAnsi="Calibri" w:cs="Calibri"/>
                <w:b/>
                <w:bCs/>
                <w:color w:val="2F3185"/>
                <w:sz w:val="22"/>
                <w:szCs w:val="22"/>
              </w:rPr>
              <w:t>Abstract</w:t>
            </w:r>
          </w:p>
        </w:tc>
      </w:tr>
      <w:tr w:rsidR="00915609" w14:paraId="0D36B67B" w14:textId="77777777">
        <w:trPr>
          <w:trHeight w:val="1819"/>
        </w:trPr>
        <w:tc>
          <w:tcPr>
            <w:tcW w:w="2263" w:type="dxa"/>
            <w:shd w:val="clear" w:color="auto" w:fill="E5DFEC"/>
          </w:tcPr>
          <w:p w14:paraId="0E86D866" w14:textId="77777777" w:rsidR="00915609" w:rsidRDefault="00361C24">
            <w:pPr>
              <w:pBdr>
                <w:top w:val="nil"/>
                <w:left w:val="nil"/>
                <w:bottom w:val="nil"/>
                <w:right w:val="nil"/>
                <w:between w:val="nil"/>
              </w:pBdr>
              <w:spacing w:after="0"/>
              <w:ind w:right="-29"/>
              <w:jc w:val="center"/>
              <w:rPr>
                <w:rFonts w:ascii="Calibri" w:eastAsia="Calibri" w:hAnsi="Calibri" w:cs="Calibri"/>
                <w:b/>
                <w:bCs/>
                <w:color w:val="2F3185"/>
                <w:sz w:val="22"/>
                <w:szCs w:val="22"/>
              </w:rPr>
            </w:pPr>
            <w:r>
              <w:rPr>
                <w:rFonts w:ascii="Calibri" w:eastAsia="Calibri" w:hAnsi="Calibri" w:cs="Calibri"/>
                <w:b/>
                <w:bCs/>
                <w:color w:val="2F3185"/>
                <w:sz w:val="22"/>
                <w:szCs w:val="22"/>
              </w:rPr>
              <w:t>Keywords:</w:t>
            </w:r>
          </w:p>
          <w:p w14:paraId="66287979" w14:textId="77777777" w:rsidR="00915609" w:rsidRDefault="00361C24">
            <w:pPr>
              <w:pBdr>
                <w:top w:val="nil"/>
                <w:left w:val="nil"/>
                <w:bottom w:val="nil"/>
                <w:right w:val="nil"/>
                <w:between w:val="nil"/>
              </w:pBdr>
              <w:spacing w:after="0"/>
              <w:ind w:right="-29"/>
              <w:jc w:val="both"/>
              <w:rPr>
                <w:rFonts w:ascii="Calibri" w:eastAsia="Calibri" w:hAnsi="Calibri" w:cs="Calibri"/>
                <w:i/>
                <w:iCs/>
                <w:color w:val="000000"/>
              </w:rPr>
            </w:pPr>
            <w:r>
              <w:rPr>
                <w:rFonts w:ascii="Calibri" w:eastAsia="Calibri" w:hAnsi="Calibri" w:cs="Calibri"/>
                <w:i/>
                <w:iCs/>
                <w:color w:val="000000"/>
              </w:rPr>
              <w:t>Keyword 1;</w:t>
            </w:r>
          </w:p>
          <w:p w14:paraId="39C90E8B" w14:textId="77777777" w:rsidR="00915609" w:rsidRDefault="00361C24">
            <w:pPr>
              <w:pBdr>
                <w:top w:val="nil"/>
                <w:left w:val="nil"/>
                <w:bottom w:val="nil"/>
                <w:right w:val="nil"/>
                <w:between w:val="nil"/>
              </w:pBdr>
              <w:spacing w:after="0"/>
              <w:ind w:right="-29"/>
              <w:jc w:val="both"/>
              <w:rPr>
                <w:rFonts w:ascii="Calibri" w:eastAsia="Calibri" w:hAnsi="Calibri" w:cs="Calibri"/>
                <w:i/>
                <w:iCs/>
                <w:color w:val="000000"/>
              </w:rPr>
            </w:pPr>
            <w:r>
              <w:rPr>
                <w:rFonts w:ascii="Calibri" w:eastAsia="Calibri" w:hAnsi="Calibri" w:cs="Calibri"/>
                <w:i/>
                <w:iCs/>
                <w:color w:val="000000"/>
              </w:rPr>
              <w:t>Keyword 2;</w:t>
            </w:r>
          </w:p>
          <w:p w14:paraId="713FC070" w14:textId="77777777" w:rsidR="00915609" w:rsidRDefault="00361C24">
            <w:pPr>
              <w:pBdr>
                <w:top w:val="nil"/>
                <w:left w:val="nil"/>
                <w:bottom w:val="nil"/>
                <w:right w:val="nil"/>
                <w:between w:val="nil"/>
              </w:pBdr>
              <w:spacing w:after="0"/>
              <w:ind w:right="-29"/>
              <w:jc w:val="both"/>
              <w:rPr>
                <w:rFonts w:ascii="Calibri" w:eastAsia="Calibri" w:hAnsi="Calibri" w:cs="Calibri"/>
                <w:i/>
                <w:iCs/>
                <w:color w:val="000000"/>
              </w:rPr>
            </w:pPr>
            <w:r>
              <w:rPr>
                <w:rFonts w:ascii="Calibri" w:eastAsia="Calibri" w:hAnsi="Calibri" w:cs="Calibri"/>
                <w:i/>
                <w:iCs/>
                <w:color w:val="000000"/>
              </w:rPr>
              <w:t>Keyword 3;</w:t>
            </w:r>
          </w:p>
          <w:p w14:paraId="35C66FA4" w14:textId="77777777" w:rsidR="00915609" w:rsidRDefault="00361C24">
            <w:pPr>
              <w:pBdr>
                <w:top w:val="nil"/>
                <w:left w:val="nil"/>
                <w:bottom w:val="nil"/>
                <w:right w:val="nil"/>
                <w:between w:val="nil"/>
              </w:pBdr>
              <w:spacing w:after="0"/>
              <w:ind w:right="-29"/>
              <w:jc w:val="both"/>
              <w:rPr>
                <w:rFonts w:ascii="Calibri" w:eastAsia="Calibri" w:hAnsi="Calibri" w:cs="Calibri"/>
                <w:i/>
                <w:iCs/>
                <w:color w:val="000000"/>
              </w:rPr>
            </w:pPr>
            <w:r>
              <w:rPr>
                <w:rFonts w:ascii="Calibri" w:eastAsia="Calibri" w:hAnsi="Calibri" w:cs="Calibri"/>
                <w:i/>
                <w:iCs/>
                <w:color w:val="000000"/>
              </w:rPr>
              <w:t>(List three to ten pertinent keywords specific to the research)</w:t>
            </w:r>
          </w:p>
        </w:tc>
        <w:tc>
          <w:tcPr>
            <w:tcW w:w="6951" w:type="dxa"/>
            <w:vMerge w:val="restart"/>
            <w:shd w:val="clear" w:color="auto" w:fill="E5DFEC"/>
          </w:tcPr>
          <w:p w14:paraId="18B5B03C" w14:textId="77777777" w:rsidR="00915609" w:rsidRDefault="00361C24">
            <w:pPr>
              <w:spacing w:after="0" w:line="240" w:lineRule="auto"/>
              <w:ind w:right="-29"/>
              <w:jc w:val="both"/>
              <w:rPr>
                <w:rFonts w:ascii="Calibri" w:eastAsia="Calibri" w:hAnsi="Calibri" w:cs="Calibri"/>
                <w:i/>
                <w:iCs/>
                <w:color w:val="000000"/>
              </w:rPr>
            </w:pPr>
            <w:r>
              <w:rPr>
                <w:rFonts w:ascii="Calibri" w:eastAsia="Calibri" w:hAnsi="Calibri" w:cs="Calibri"/>
                <w:i/>
                <w:iCs/>
                <w:color w:val="000000"/>
              </w:rPr>
              <w:t xml:space="preserve">A single paragraph of no more than 200 words. Abstracts for research articles should provide a relevant overview of the work. We strongly encourage authors to utilize the following format for structured abstracts, excluding headings: (1) Background: Place </w:t>
            </w:r>
            <w:r>
              <w:rPr>
                <w:rFonts w:ascii="Calibri" w:eastAsia="Calibri" w:hAnsi="Calibri" w:cs="Calibri"/>
                <w:i/>
                <w:iCs/>
                <w:color w:val="000000"/>
              </w:rPr>
              <w:t>the question under consideration in a broader context and emphasize the purpose of the study; (2) Methods: briefly describe the most important methods or treatments used; (3) Results: summarize the key findings of the article; (4) Implications: List the mo</w:t>
            </w:r>
            <w:r>
              <w:rPr>
                <w:rFonts w:ascii="Calibri" w:eastAsia="Calibri" w:hAnsi="Calibri" w:cs="Calibri"/>
                <w:i/>
                <w:iCs/>
                <w:color w:val="000000"/>
              </w:rPr>
              <w:t>st significant implications or interpretations. The abstract should be an objective representation of the article and should not include results not presented and supported in the main text, nor should it exaggerate the significance of the main conclusions</w:t>
            </w:r>
            <w:r>
              <w:rPr>
                <w:rFonts w:ascii="Calibri" w:eastAsia="Calibri" w:hAnsi="Calibri" w:cs="Calibri"/>
                <w:i/>
                <w:iCs/>
                <w:color w:val="000000"/>
              </w:rPr>
              <w:t>.</w:t>
            </w:r>
          </w:p>
        </w:tc>
      </w:tr>
      <w:tr w:rsidR="00915609" w14:paraId="204BBB5A" w14:textId="77777777">
        <w:trPr>
          <w:trHeight w:val="283"/>
        </w:trPr>
        <w:tc>
          <w:tcPr>
            <w:tcW w:w="2263" w:type="dxa"/>
            <w:shd w:val="clear" w:color="auto" w:fill="E5DFEC"/>
          </w:tcPr>
          <w:p w14:paraId="07034782" w14:textId="77777777" w:rsidR="00915609" w:rsidRDefault="00361C24">
            <w:pPr>
              <w:pBdr>
                <w:top w:val="nil"/>
                <w:left w:val="nil"/>
                <w:bottom w:val="nil"/>
                <w:right w:val="nil"/>
                <w:between w:val="nil"/>
              </w:pBdr>
              <w:spacing w:after="0"/>
              <w:ind w:right="-29"/>
              <w:jc w:val="center"/>
              <w:rPr>
                <w:rFonts w:ascii="Calibri" w:eastAsia="Calibri" w:hAnsi="Calibri" w:cs="Calibri"/>
                <w:b/>
                <w:bCs/>
                <w:color w:val="000000"/>
                <w:sz w:val="22"/>
                <w:szCs w:val="22"/>
              </w:rPr>
            </w:pPr>
            <w:r>
              <w:rPr>
                <w:rFonts w:ascii="Calibri" w:eastAsia="Calibri" w:hAnsi="Calibri" w:cs="Calibri"/>
                <w:b/>
                <w:bCs/>
                <w:color w:val="2F3185"/>
                <w:sz w:val="22"/>
                <w:szCs w:val="22"/>
              </w:rPr>
              <w:t>Article History:</w:t>
            </w:r>
          </w:p>
        </w:tc>
        <w:tc>
          <w:tcPr>
            <w:tcW w:w="6951" w:type="dxa"/>
            <w:vMerge/>
            <w:shd w:val="clear" w:color="auto" w:fill="E5DFEC"/>
          </w:tcPr>
          <w:p w14:paraId="23DAE9E5" w14:textId="77777777" w:rsidR="00915609" w:rsidRDefault="00915609">
            <w:pPr>
              <w:widowControl w:val="0"/>
              <w:pBdr>
                <w:top w:val="nil"/>
                <w:left w:val="nil"/>
                <w:bottom w:val="nil"/>
                <w:right w:val="nil"/>
                <w:between w:val="nil"/>
              </w:pBdr>
              <w:spacing w:after="0" w:line="276" w:lineRule="auto"/>
              <w:rPr>
                <w:rFonts w:ascii="Calibri" w:eastAsia="Calibri" w:hAnsi="Calibri" w:cs="Calibri"/>
                <w:b/>
                <w:bCs/>
                <w:color w:val="000000"/>
                <w:sz w:val="22"/>
                <w:szCs w:val="22"/>
              </w:rPr>
            </w:pPr>
          </w:p>
        </w:tc>
      </w:tr>
      <w:tr w:rsidR="00915609" w14:paraId="4F814A4F" w14:textId="77777777">
        <w:trPr>
          <w:trHeight w:val="940"/>
        </w:trPr>
        <w:tc>
          <w:tcPr>
            <w:tcW w:w="2263" w:type="dxa"/>
            <w:shd w:val="clear" w:color="auto" w:fill="E5DFEC"/>
          </w:tcPr>
          <w:p w14:paraId="145F3846" w14:textId="77777777" w:rsidR="00915609" w:rsidRDefault="00361C24">
            <w:pPr>
              <w:pBdr>
                <w:top w:val="nil"/>
                <w:left w:val="nil"/>
                <w:bottom w:val="nil"/>
                <w:right w:val="nil"/>
                <w:between w:val="nil"/>
              </w:pBdr>
              <w:spacing w:after="0"/>
              <w:ind w:right="-29"/>
              <w:jc w:val="both"/>
              <w:rPr>
                <w:rFonts w:ascii="Calibri" w:eastAsia="Calibri" w:hAnsi="Calibri" w:cs="Calibri"/>
              </w:rPr>
            </w:pPr>
            <w:r>
              <w:rPr>
                <w:rFonts w:ascii="Calibri" w:eastAsia="Calibri" w:hAnsi="Calibri" w:cs="Calibri"/>
              </w:rPr>
              <w:t>Submitted: 2025-05-11</w:t>
            </w:r>
          </w:p>
          <w:p w14:paraId="23FEA156" w14:textId="77777777" w:rsidR="00915609" w:rsidRDefault="00361C24">
            <w:pPr>
              <w:pBdr>
                <w:top w:val="nil"/>
                <w:left w:val="nil"/>
                <w:bottom w:val="nil"/>
                <w:right w:val="nil"/>
                <w:between w:val="nil"/>
              </w:pBdr>
              <w:spacing w:after="0"/>
              <w:ind w:right="-29"/>
              <w:jc w:val="both"/>
              <w:rPr>
                <w:rFonts w:ascii="Calibri" w:eastAsia="Calibri" w:hAnsi="Calibri" w:cs="Calibri"/>
                <w:color w:val="000000"/>
              </w:rPr>
            </w:pPr>
            <w:r>
              <w:rPr>
                <w:rFonts w:ascii="Calibri" w:eastAsia="Calibri" w:hAnsi="Calibri" w:cs="Calibri"/>
                <w:color w:val="000000"/>
              </w:rPr>
              <w:t>Revised: 2025-08-01</w:t>
            </w:r>
          </w:p>
          <w:p w14:paraId="7A8013CA" w14:textId="77777777" w:rsidR="00915609" w:rsidRDefault="00361C24">
            <w:pPr>
              <w:pBdr>
                <w:top w:val="nil"/>
                <w:left w:val="nil"/>
                <w:bottom w:val="nil"/>
                <w:right w:val="nil"/>
                <w:between w:val="nil"/>
              </w:pBdr>
              <w:spacing w:after="0"/>
              <w:ind w:right="-29"/>
              <w:jc w:val="both"/>
              <w:rPr>
                <w:rFonts w:ascii="Calibri" w:eastAsia="Calibri" w:hAnsi="Calibri" w:cs="Calibri"/>
              </w:rPr>
            </w:pPr>
            <w:r>
              <w:rPr>
                <w:rFonts w:ascii="Calibri" w:eastAsia="Calibri" w:hAnsi="Calibri" w:cs="Calibri"/>
              </w:rPr>
              <w:t>Accepted: 2025-08-21</w:t>
            </w:r>
          </w:p>
        </w:tc>
        <w:tc>
          <w:tcPr>
            <w:tcW w:w="6951" w:type="dxa"/>
            <w:vMerge/>
            <w:shd w:val="clear" w:color="auto" w:fill="E5DFEC"/>
          </w:tcPr>
          <w:p w14:paraId="1E842B63" w14:textId="77777777" w:rsidR="00915609" w:rsidRDefault="00915609">
            <w:pPr>
              <w:widowControl w:val="0"/>
              <w:pBdr>
                <w:top w:val="nil"/>
                <w:left w:val="nil"/>
                <w:bottom w:val="nil"/>
                <w:right w:val="nil"/>
                <w:between w:val="nil"/>
              </w:pBdr>
              <w:spacing w:after="0" w:line="276" w:lineRule="auto"/>
              <w:rPr>
                <w:rFonts w:ascii="Calibri" w:eastAsia="Calibri" w:hAnsi="Calibri" w:cs="Calibri"/>
              </w:rPr>
            </w:pPr>
          </w:p>
        </w:tc>
      </w:tr>
    </w:tbl>
    <w:p w14:paraId="2E0C8E45" w14:textId="77777777" w:rsidR="00915609" w:rsidRDefault="00361C24">
      <w:pPr>
        <w:pBdr>
          <w:top w:val="nil"/>
          <w:left w:val="nil"/>
          <w:bottom w:val="nil"/>
          <w:right w:val="nil"/>
          <w:between w:val="nil"/>
        </w:pBdr>
        <w:spacing w:before="240" w:after="0"/>
        <w:rPr>
          <w:b/>
          <w:bCs/>
          <w:color w:val="2F3185"/>
          <w:sz w:val="22"/>
          <w:szCs w:val="22"/>
        </w:rPr>
      </w:pPr>
      <w:r>
        <w:rPr>
          <w:b/>
          <w:bCs/>
          <w:color w:val="2F3185"/>
          <w:sz w:val="22"/>
          <w:szCs w:val="22"/>
        </w:rPr>
        <w:t>INTRODUCTION</w:t>
      </w:r>
    </w:p>
    <w:p w14:paraId="32BAB12D" w14:textId="77777777" w:rsidR="00915609" w:rsidRDefault="00361C24">
      <w:pPr>
        <w:pBdr>
          <w:top w:val="nil"/>
          <w:left w:val="nil"/>
          <w:bottom w:val="nil"/>
          <w:right w:val="nil"/>
          <w:between w:val="nil"/>
        </w:pBdr>
        <w:spacing w:before="120" w:after="0"/>
        <w:ind w:left="425" w:hanging="425"/>
        <w:jc w:val="both"/>
        <w:rPr>
          <w:b/>
          <w:bCs/>
          <w:color w:val="0070C0"/>
          <w:sz w:val="22"/>
          <w:szCs w:val="22"/>
        </w:rPr>
      </w:pPr>
      <w:r>
        <w:rPr>
          <w:b/>
          <w:bCs/>
          <w:color w:val="2F3185"/>
          <w:sz w:val="22"/>
          <w:szCs w:val="22"/>
        </w:rPr>
        <w:t>Background of the Study</w:t>
      </w:r>
    </w:p>
    <w:p w14:paraId="3F2BE975"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The introduction should briefly place the study in a broad context and highlight why it is important. It should define the purpose of the work and its significance. The current state of the research field should be carefully reviewed and key publications c</w:t>
      </w:r>
      <w:r>
        <w:rPr>
          <w:color w:val="000000"/>
          <w:sz w:val="22"/>
          <w:szCs w:val="22"/>
        </w:rPr>
        <w:t>ited. Please highlight controversial and diverging hypotheses when necessary. Finally, briefly mention the main aim of the work and highlight the principal conclusions. As far as possible, please keep the introduction comprehensible to scientists outside y</w:t>
      </w:r>
      <w:r>
        <w:rPr>
          <w:color w:val="000000"/>
          <w:sz w:val="22"/>
          <w:szCs w:val="22"/>
        </w:rPr>
        <w:t>our particular field of research. Any citations and references shall be written in APA 7th edition style. Please see the end of the document for further details on references.</w:t>
      </w:r>
    </w:p>
    <w:p w14:paraId="12A80CBE" w14:textId="77777777" w:rsidR="00915609" w:rsidRDefault="00361C24">
      <w:pPr>
        <w:pBdr>
          <w:top w:val="nil"/>
          <w:left w:val="nil"/>
          <w:bottom w:val="nil"/>
          <w:right w:val="nil"/>
          <w:between w:val="nil"/>
        </w:pBdr>
        <w:spacing w:before="240" w:after="0" w:line="240" w:lineRule="auto"/>
        <w:jc w:val="both"/>
        <w:rPr>
          <w:b/>
          <w:bCs/>
          <w:color w:val="2F3185"/>
          <w:sz w:val="22"/>
          <w:szCs w:val="22"/>
        </w:rPr>
      </w:pPr>
      <w:r>
        <w:rPr>
          <w:b/>
          <w:bCs/>
          <w:color w:val="2F3185"/>
          <w:sz w:val="22"/>
          <w:szCs w:val="22"/>
        </w:rPr>
        <w:t>Problem of the Study</w:t>
      </w:r>
    </w:p>
    <w:p w14:paraId="53FD8354"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State your research’s problem here. A research problem is a</w:t>
      </w:r>
      <w:r>
        <w:rPr>
          <w:color w:val="000000"/>
          <w:sz w:val="22"/>
          <w:szCs w:val="22"/>
        </w:rPr>
        <w:t xml:space="preserve"> specific issue, difficulty, inconsistency, or knowledge gaps that you intend to address through your research. You could look for problems with a practical or theoretical solution that will contribute to the advancement of knowledge.</w:t>
      </w:r>
    </w:p>
    <w:p w14:paraId="3FA41118" w14:textId="77777777" w:rsidR="00915609" w:rsidRDefault="00361C24">
      <w:pPr>
        <w:pBdr>
          <w:top w:val="nil"/>
          <w:left w:val="nil"/>
          <w:bottom w:val="nil"/>
          <w:right w:val="nil"/>
          <w:between w:val="nil"/>
        </w:pBdr>
        <w:spacing w:before="120" w:after="0"/>
        <w:ind w:left="425" w:hanging="425"/>
        <w:jc w:val="both"/>
        <w:rPr>
          <w:b/>
          <w:bCs/>
          <w:color w:val="2F3185"/>
          <w:sz w:val="22"/>
          <w:szCs w:val="22"/>
        </w:rPr>
      </w:pPr>
      <w:r>
        <w:rPr>
          <w:b/>
          <w:bCs/>
          <w:color w:val="2F3185"/>
          <w:sz w:val="22"/>
          <w:szCs w:val="22"/>
        </w:rPr>
        <w:t>Research’s State of t</w:t>
      </w:r>
      <w:r>
        <w:rPr>
          <w:b/>
          <w:bCs/>
          <w:color w:val="2F3185"/>
          <w:sz w:val="22"/>
          <w:szCs w:val="22"/>
        </w:rPr>
        <w:t xml:space="preserve">he Art </w:t>
      </w:r>
    </w:p>
    <w:p w14:paraId="1430AEEC"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lastRenderedPageBreak/>
        <w:t xml:space="preserve">The research’s state of the art are literature Reviews that examine the pertinent contributions to the existing literature. A literature review should identify the theoretical foundation of a study, the level of originality and significance of the </w:t>
      </w:r>
      <w:r>
        <w:rPr>
          <w:color w:val="000000"/>
          <w:sz w:val="22"/>
          <w:szCs w:val="22"/>
        </w:rPr>
        <w:t>research, and help clarify and refine the focus, research questions, and hypotheses to be discussed. Additionally, the literature review must justify the research focus.</w:t>
      </w:r>
    </w:p>
    <w:p w14:paraId="2AB3481C" w14:textId="77777777" w:rsidR="00915609" w:rsidRDefault="00361C24">
      <w:pPr>
        <w:pBdr>
          <w:top w:val="nil"/>
          <w:left w:val="nil"/>
          <w:bottom w:val="nil"/>
          <w:right w:val="nil"/>
          <w:between w:val="nil"/>
        </w:pBdr>
        <w:spacing w:before="120" w:after="0"/>
        <w:ind w:left="425" w:hanging="425"/>
        <w:jc w:val="both"/>
        <w:rPr>
          <w:b/>
          <w:bCs/>
          <w:color w:val="0070C0"/>
          <w:sz w:val="22"/>
          <w:szCs w:val="22"/>
        </w:rPr>
      </w:pPr>
      <w:r>
        <w:rPr>
          <w:b/>
          <w:bCs/>
          <w:color w:val="2F3185"/>
          <w:sz w:val="22"/>
          <w:szCs w:val="22"/>
        </w:rPr>
        <w:t>Gap Study and Objective</w:t>
      </w:r>
    </w:p>
    <w:p w14:paraId="3AE232BD"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A research gap is a question or issue that has not been addres</w:t>
      </w:r>
      <w:r>
        <w:rPr>
          <w:color w:val="000000"/>
          <w:sz w:val="22"/>
          <w:szCs w:val="22"/>
        </w:rPr>
        <w:t>sed by any of your field's existing studies or research. Occasionally, a research gap exists when a concept or new idea has never been studied. There may be a research gap if all existing research is obsolete and requires new/updated research (studies on I</w:t>
      </w:r>
      <w:r>
        <w:rPr>
          <w:color w:val="000000"/>
          <w:sz w:val="22"/>
          <w:szCs w:val="22"/>
        </w:rPr>
        <w:t xml:space="preserve">nternet use in 2001, for example). Or perhaps a particular population has not been sufficiently studied (perhaps there are plenty of studies on teenagers and video games, but not enough studies on toddlers and video games, for example). These are merely a </w:t>
      </w:r>
      <w:r>
        <w:rPr>
          <w:color w:val="000000"/>
          <w:sz w:val="22"/>
          <w:szCs w:val="22"/>
        </w:rPr>
        <w:t xml:space="preserve">few examples, but any research gap you identify is an area where additional studies and research must be conducted. </w:t>
      </w:r>
    </w:p>
    <w:p w14:paraId="12C14AF7" w14:textId="77777777" w:rsidR="00915609" w:rsidRDefault="00361C24">
      <w:pPr>
        <w:pBdr>
          <w:top w:val="nil"/>
          <w:left w:val="nil"/>
          <w:bottom w:val="nil"/>
          <w:right w:val="nil"/>
          <w:between w:val="nil"/>
        </w:pBdr>
        <w:spacing w:before="240" w:after="0"/>
        <w:rPr>
          <w:b/>
          <w:bCs/>
          <w:color w:val="2F3185"/>
          <w:sz w:val="22"/>
          <w:szCs w:val="22"/>
        </w:rPr>
      </w:pPr>
      <w:r>
        <w:rPr>
          <w:b/>
          <w:bCs/>
          <w:color w:val="2F3185"/>
          <w:sz w:val="22"/>
          <w:szCs w:val="22"/>
        </w:rPr>
        <w:t>METHOD</w:t>
      </w:r>
    </w:p>
    <w:p w14:paraId="1C659217" w14:textId="77777777" w:rsidR="00915609" w:rsidRDefault="00361C24">
      <w:pPr>
        <w:pBdr>
          <w:top w:val="nil"/>
          <w:left w:val="nil"/>
          <w:bottom w:val="nil"/>
          <w:right w:val="nil"/>
          <w:between w:val="nil"/>
        </w:pBdr>
        <w:spacing w:before="120" w:after="0"/>
        <w:ind w:left="425" w:hanging="425"/>
        <w:jc w:val="both"/>
        <w:rPr>
          <w:b/>
          <w:bCs/>
          <w:color w:val="0070C0"/>
          <w:sz w:val="22"/>
          <w:szCs w:val="22"/>
        </w:rPr>
      </w:pPr>
      <w:r>
        <w:rPr>
          <w:b/>
          <w:bCs/>
          <w:color w:val="2F3185"/>
          <w:sz w:val="22"/>
          <w:szCs w:val="22"/>
        </w:rPr>
        <w:t>Type and Design</w:t>
      </w:r>
    </w:p>
    <w:p w14:paraId="7FA24435"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The methods should be described with sufficient details to allow others to replicate and build on the published results. Please note that the publication of your manuscript implies that you must make all materials, data, computer code, and protocols associ</w:t>
      </w:r>
      <w:r>
        <w:rPr>
          <w:color w:val="000000"/>
          <w:sz w:val="22"/>
          <w:szCs w:val="22"/>
        </w:rPr>
        <w:t>ated with the publication available to readers. Please disclose any restrictions on the availability of materials or information at the submission stage. New methods and protocols should be described in detail, while well-established methods can be briefly</w:t>
      </w:r>
      <w:r>
        <w:rPr>
          <w:color w:val="000000"/>
          <w:sz w:val="22"/>
          <w:szCs w:val="22"/>
        </w:rPr>
        <w:t xml:space="preserve"> described and appropriately cited.</w:t>
      </w:r>
    </w:p>
    <w:p w14:paraId="0F1FACE1"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Research manuscripts reporting large datasets deposited in a publicly available database should specify where the data have been deposited and provide the relevant accession numbers. If the accession numbers have not yet</w:t>
      </w:r>
      <w:r>
        <w:rPr>
          <w:color w:val="000000"/>
          <w:sz w:val="22"/>
          <w:szCs w:val="22"/>
        </w:rPr>
        <w:t xml:space="preserve"> been obtained at the time of submission, please state that they will be provided during review. They must be provided before publication.</w:t>
      </w:r>
    </w:p>
    <w:p w14:paraId="4D37DE86"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Interventional studies involving animals or humans, and other studies that require ethical approval, must list the au</w:t>
      </w:r>
      <w:r>
        <w:rPr>
          <w:color w:val="000000"/>
          <w:sz w:val="22"/>
          <w:szCs w:val="22"/>
        </w:rPr>
        <w:t>thority that provided approval and the corresponding ethical approval code.</w:t>
      </w:r>
    </w:p>
    <w:p w14:paraId="736089A7" w14:textId="77777777" w:rsidR="00915609" w:rsidRDefault="00361C24">
      <w:pPr>
        <w:pBdr>
          <w:top w:val="nil"/>
          <w:left w:val="nil"/>
          <w:bottom w:val="nil"/>
          <w:right w:val="nil"/>
          <w:between w:val="nil"/>
        </w:pBdr>
        <w:spacing w:before="240" w:after="0" w:line="240" w:lineRule="auto"/>
        <w:jc w:val="both"/>
        <w:rPr>
          <w:b/>
          <w:bCs/>
          <w:color w:val="0070C0"/>
          <w:sz w:val="22"/>
          <w:szCs w:val="22"/>
        </w:rPr>
      </w:pPr>
      <w:r>
        <w:rPr>
          <w:b/>
          <w:bCs/>
          <w:color w:val="2F3185"/>
          <w:sz w:val="22"/>
          <w:szCs w:val="22"/>
        </w:rPr>
        <w:t>Data and Data Sources</w:t>
      </w:r>
      <w:r>
        <w:rPr>
          <w:b/>
          <w:bCs/>
          <w:color w:val="0070C0"/>
          <w:sz w:val="22"/>
          <w:szCs w:val="22"/>
        </w:rPr>
        <w:t xml:space="preserve"> </w:t>
      </w:r>
    </w:p>
    <w:p w14:paraId="598DB6BD"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 xml:space="preserve">The data are facts or information used to discuss or determine the answer to a research question. The subjects from whom data can be collected for research are the study's data </w:t>
      </w:r>
      <w:r>
        <w:rPr>
          <w:sz w:val="22"/>
          <w:szCs w:val="22"/>
        </w:rPr>
        <w:t>sources</w:t>
      </w:r>
      <w:r>
        <w:rPr>
          <w:color w:val="000000"/>
          <w:sz w:val="22"/>
          <w:szCs w:val="22"/>
        </w:rPr>
        <w:t>. The library's collection of books, audio, documents, and other printed</w:t>
      </w:r>
      <w:r>
        <w:rPr>
          <w:color w:val="000000"/>
          <w:sz w:val="22"/>
          <w:szCs w:val="22"/>
        </w:rPr>
        <w:t xml:space="preserve"> materials can serve as a data source for the researcher.</w:t>
      </w:r>
    </w:p>
    <w:p w14:paraId="2CA8603B" w14:textId="77777777" w:rsidR="00915609" w:rsidRDefault="00915609">
      <w:pPr>
        <w:pBdr>
          <w:top w:val="nil"/>
          <w:left w:val="nil"/>
          <w:bottom w:val="nil"/>
          <w:right w:val="nil"/>
          <w:between w:val="nil"/>
        </w:pBdr>
        <w:spacing w:after="0" w:line="240" w:lineRule="auto"/>
        <w:ind w:firstLine="567"/>
        <w:jc w:val="both"/>
        <w:rPr>
          <w:color w:val="000000"/>
          <w:sz w:val="22"/>
          <w:szCs w:val="22"/>
        </w:rPr>
      </w:pPr>
    </w:p>
    <w:p w14:paraId="52807CAB" w14:textId="77777777" w:rsidR="00915609" w:rsidRDefault="00915609">
      <w:pPr>
        <w:pBdr>
          <w:top w:val="nil"/>
          <w:left w:val="nil"/>
          <w:bottom w:val="nil"/>
          <w:right w:val="nil"/>
          <w:between w:val="nil"/>
        </w:pBdr>
        <w:spacing w:after="0" w:line="240" w:lineRule="auto"/>
        <w:ind w:firstLine="567"/>
        <w:jc w:val="both"/>
        <w:rPr>
          <w:color w:val="000000"/>
          <w:sz w:val="22"/>
          <w:szCs w:val="22"/>
        </w:rPr>
      </w:pPr>
    </w:p>
    <w:p w14:paraId="263B7FAB"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All figures and tables should be cited in the main text as Figure 1, Table 1, etc.</w:t>
      </w:r>
    </w:p>
    <w:p w14:paraId="539D8AE7" w14:textId="77777777" w:rsidR="00915609" w:rsidRDefault="00361C24">
      <w:pPr>
        <w:pBdr>
          <w:top w:val="nil"/>
          <w:left w:val="nil"/>
          <w:bottom w:val="nil"/>
          <w:right w:val="nil"/>
          <w:between w:val="nil"/>
        </w:pBdr>
        <w:spacing w:after="0" w:line="240" w:lineRule="auto"/>
        <w:ind w:firstLine="567"/>
        <w:jc w:val="center"/>
        <w:rPr>
          <w:color w:val="000000"/>
          <w:sz w:val="22"/>
          <w:szCs w:val="22"/>
        </w:rPr>
      </w:pPr>
      <w:r>
        <w:rPr>
          <w:b/>
          <w:bCs/>
          <w:color w:val="000000"/>
          <w:sz w:val="22"/>
          <w:szCs w:val="22"/>
        </w:rPr>
        <w:t>Table 1.</w:t>
      </w:r>
      <w:r>
        <w:rPr>
          <w:color w:val="000000"/>
          <w:sz w:val="22"/>
          <w:szCs w:val="22"/>
        </w:rPr>
        <w:t xml:space="preserve"> This is a table.</w:t>
      </w:r>
    </w:p>
    <w:tbl>
      <w:tblPr>
        <w:tblStyle w:val="a7"/>
        <w:tblW w:w="9015" w:type="dxa"/>
        <w:tblBorders>
          <w:top w:val="single" w:sz="8" w:space="0" w:color="000000"/>
          <w:bottom w:val="single" w:sz="8" w:space="0" w:color="000000"/>
        </w:tblBorders>
        <w:tblLayout w:type="fixed"/>
        <w:tblLook w:val="0400" w:firstRow="0" w:lastRow="0" w:firstColumn="0" w:lastColumn="0" w:noHBand="0" w:noVBand="1"/>
      </w:tblPr>
      <w:tblGrid>
        <w:gridCol w:w="3005"/>
        <w:gridCol w:w="3005"/>
        <w:gridCol w:w="3005"/>
      </w:tblGrid>
      <w:tr w:rsidR="00915609" w14:paraId="3A7DADAE" w14:textId="77777777">
        <w:trPr>
          <w:trHeight w:val="444"/>
        </w:trPr>
        <w:tc>
          <w:tcPr>
            <w:tcW w:w="3005" w:type="dxa"/>
            <w:tcBorders>
              <w:bottom w:val="single" w:sz="4" w:space="0" w:color="000000"/>
            </w:tcBorders>
            <w:shd w:val="clear" w:color="auto" w:fill="auto"/>
            <w:vAlign w:val="center"/>
          </w:tcPr>
          <w:p w14:paraId="5DE69A34" w14:textId="77777777" w:rsidR="00915609" w:rsidRDefault="00361C24">
            <w:pPr>
              <w:pBdr>
                <w:top w:val="nil"/>
                <w:left w:val="nil"/>
                <w:bottom w:val="nil"/>
                <w:right w:val="nil"/>
                <w:between w:val="nil"/>
              </w:pBdr>
              <w:spacing w:after="0" w:line="240" w:lineRule="auto"/>
              <w:jc w:val="center"/>
              <w:rPr>
                <w:b/>
                <w:bCs/>
                <w:color w:val="000000"/>
                <w:sz w:val="22"/>
                <w:szCs w:val="22"/>
              </w:rPr>
            </w:pPr>
            <w:r>
              <w:rPr>
                <w:b/>
                <w:bCs/>
                <w:color w:val="000000"/>
                <w:sz w:val="22"/>
                <w:szCs w:val="22"/>
              </w:rPr>
              <w:t>Title 1</w:t>
            </w:r>
          </w:p>
        </w:tc>
        <w:tc>
          <w:tcPr>
            <w:tcW w:w="3005" w:type="dxa"/>
            <w:tcBorders>
              <w:bottom w:val="single" w:sz="4" w:space="0" w:color="000000"/>
            </w:tcBorders>
            <w:shd w:val="clear" w:color="auto" w:fill="auto"/>
            <w:vAlign w:val="center"/>
          </w:tcPr>
          <w:p w14:paraId="72B6B85F" w14:textId="77777777" w:rsidR="00915609" w:rsidRDefault="00361C24">
            <w:pPr>
              <w:pBdr>
                <w:top w:val="nil"/>
                <w:left w:val="nil"/>
                <w:bottom w:val="nil"/>
                <w:right w:val="nil"/>
                <w:between w:val="nil"/>
              </w:pBdr>
              <w:spacing w:after="0" w:line="240" w:lineRule="auto"/>
              <w:jc w:val="center"/>
              <w:rPr>
                <w:b/>
                <w:bCs/>
                <w:color w:val="000000"/>
                <w:sz w:val="22"/>
                <w:szCs w:val="22"/>
              </w:rPr>
            </w:pPr>
            <w:r>
              <w:rPr>
                <w:b/>
                <w:bCs/>
                <w:color w:val="000000"/>
                <w:sz w:val="22"/>
                <w:szCs w:val="22"/>
              </w:rPr>
              <w:t>Title 2</w:t>
            </w:r>
          </w:p>
        </w:tc>
        <w:tc>
          <w:tcPr>
            <w:tcW w:w="3005" w:type="dxa"/>
            <w:tcBorders>
              <w:bottom w:val="single" w:sz="4" w:space="0" w:color="000000"/>
            </w:tcBorders>
            <w:shd w:val="clear" w:color="auto" w:fill="auto"/>
            <w:vAlign w:val="center"/>
          </w:tcPr>
          <w:p w14:paraId="66CBFB89" w14:textId="77777777" w:rsidR="00915609" w:rsidRDefault="00361C24">
            <w:pPr>
              <w:pBdr>
                <w:top w:val="nil"/>
                <w:left w:val="nil"/>
                <w:bottom w:val="nil"/>
                <w:right w:val="nil"/>
                <w:between w:val="nil"/>
              </w:pBdr>
              <w:spacing w:after="0" w:line="240" w:lineRule="auto"/>
              <w:jc w:val="center"/>
              <w:rPr>
                <w:b/>
                <w:bCs/>
                <w:color w:val="000000"/>
                <w:sz w:val="22"/>
                <w:szCs w:val="22"/>
              </w:rPr>
            </w:pPr>
            <w:r>
              <w:rPr>
                <w:b/>
                <w:bCs/>
                <w:color w:val="000000"/>
                <w:sz w:val="22"/>
                <w:szCs w:val="22"/>
              </w:rPr>
              <w:t>Title 3</w:t>
            </w:r>
          </w:p>
        </w:tc>
      </w:tr>
      <w:tr w:rsidR="00915609" w14:paraId="734CA438" w14:textId="77777777">
        <w:trPr>
          <w:trHeight w:val="459"/>
        </w:trPr>
        <w:tc>
          <w:tcPr>
            <w:tcW w:w="3005" w:type="dxa"/>
            <w:shd w:val="clear" w:color="auto" w:fill="auto"/>
            <w:vAlign w:val="center"/>
          </w:tcPr>
          <w:p w14:paraId="027CD02B" w14:textId="77777777" w:rsidR="00915609" w:rsidRDefault="00361C24">
            <w:pPr>
              <w:pBdr>
                <w:top w:val="nil"/>
                <w:left w:val="nil"/>
                <w:bottom w:val="nil"/>
                <w:right w:val="nil"/>
                <w:between w:val="nil"/>
              </w:pBdr>
              <w:spacing w:after="0" w:line="240" w:lineRule="auto"/>
              <w:jc w:val="center"/>
              <w:rPr>
                <w:color w:val="000000"/>
                <w:sz w:val="22"/>
                <w:szCs w:val="22"/>
              </w:rPr>
            </w:pPr>
            <w:r>
              <w:rPr>
                <w:color w:val="000000"/>
                <w:sz w:val="22"/>
                <w:szCs w:val="22"/>
              </w:rPr>
              <w:t>entry 1</w:t>
            </w:r>
          </w:p>
        </w:tc>
        <w:tc>
          <w:tcPr>
            <w:tcW w:w="3005" w:type="dxa"/>
            <w:shd w:val="clear" w:color="auto" w:fill="auto"/>
            <w:vAlign w:val="center"/>
          </w:tcPr>
          <w:p w14:paraId="094AC0F0" w14:textId="77777777" w:rsidR="00915609" w:rsidRDefault="00361C24">
            <w:pPr>
              <w:pBdr>
                <w:top w:val="nil"/>
                <w:left w:val="nil"/>
                <w:bottom w:val="nil"/>
                <w:right w:val="nil"/>
                <w:between w:val="nil"/>
              </w:pBdr>
              <w:spacing w:after="0" w:line="240" w:lineRule="auto"/>
              <w:jc w:val="center"/>
              <w:rPr>
                <w:color w:val="000000"/>
                <w:sz w:val="22"/>
                <w:szCs w:val="22"/>
              </w:rPr>
            </w:pPr>
            <w:r>
              <w:rPr>
                <w:color w:val="000000"/>
                <w:sz w:val="22"/>
                <w:szCs w:val="22"/>
              </w:rPr>
              <w:t>data</w:t>
            </w:r>
          </w:p>
        </w:tc>
        <w:tc>
          <w:tcPr>
            <w:tcW w:w="3005" w:type="dxa"/>
            <w:shd w:val="clear" w:color="auto" w:fill="auto"/>
            <w:vAlign w:val="center"/>
          </w:tcPr>
          <w:p w14:paraId="13D87D53" w14:textId="77777777" w:rsidR="00915609" w:rsidRDefault="00361C24">
            <w:pPr>
              <w:pBdr>
                <w:top w:val="nil"/>
                <w:left w:val="nil"/>
                <w:bottom w:val="nil"/>
                <w:right w:val="nil"/>
                <w:between w:val="nil"/>
              </w:pBdr>
              <w:spacing w:after="0" w:line="240" w:lineRule="auto"/>
              <w:jc w:val="center"/>
              <w:rPr>
                <w:color w:val="000000"/>
                <w:sz w:val="22"/>
                <w:szCs w:val="22"/>
              </w:rPr>
            </w:pPr>
            <w:r>
              <w:rPr>
                <w:color w:val="000000"/>
                <w:sz w:val="22"/>
                <w:szCs w:val="22"/>
              </w:rPr>
              <w:t>data</w:t>
            </w:r>
          </w:p>
        </w:tc>
      </w:tr>
      <w:tr w:rsidR="00915609" w14:paraId="59A98A6C" w14:textId="77777777">
        <w:trPr>
          <w:trHeight w:val="444"/>
        </w:trPr>
        <w:tc>
          <w:tcPr>
            <w:tcW w:w="3005" w:type="dxa"/>
            <w:shd w:val="clear" w:color="auto" w:fill="auto"/>
            <w:vAlign w:val="center"/>
          </w:tcPr>
          <w:p w14:paraId="5E44E972" w14:textId="77777777" w:rsidR="00915609" w:rsidRDefault="00361C24">
            <w:pPr>
              <w:pBdr>
                <w:top w:val="nil"/>
                <w:left w:val="nil"/>
                <w:bottom w:val="nil"/>
                <w:right w:val="nil"/>
                <w:between w:val="nil"/>
              </w:pBdr>
              <w:spacing w:after="0" w:line="240" w:lineRule="auto"/>
              <w:jc w:val="center"/>
              <w:rPr>
                <w:color w:val="000000"/>
                <w:sz w:val="22"/>
                <w:szCs w:val="22"/>
              </w:rPr>
            </w:pPr>
            <w:r>
              <w:rPr>
                <w:color w:val="000000"/>
                <w:sz w:val="22"/>
                <w:szCs w:val="22"/>
              </w:rPr>
              <w:t>entry 2</w:t>
            </w:r>
          </w:p>
        </w:tc>
        <w:tc>
          <w:tcPr>
            <w:tcW w:w="3005" w:type="dxa"/>
            <w:shd w:val="clear" w:color="auto" w:fill="auto"/>
            <w:vAlign w:val="center"/>
          </w:tcPr>
          <w:p w14:paraId="14BCAEA1" w14:textId="77777777" w:rsidR="00915609" w:rsidRDefault="00361C24">
            <w:pPr>
              <w:pBdr>
                <w:top w:val="nil"/>
                <w:left w:val="nil"/>
                <w:bottom w:val="nil"/>
                <w:right w:val="nil"/>
                <w:between w:val="nil"/>
              </w:pBdr>
              <w:spacing w:after="0" w:line="240" w:lineRule="auto"/>
              <w:jc w:val="center"/>
              <w:rPr>
                <w:color w:val="000000"/>
                <w:sz w:val="22"/>
                <w:szCs w:val="22"/>
              </w:rPr>
            </w:pPr>
            <w:r>
              <w:rPr>
                <w:color w:val="000000"/>
                <w:sz w:val="22"/>
                <w:szCs w:val="22"/>
              </w:rPr>
              <w:t>data</w:t>
            </w:r>
          </w:p>
        </w:tc>
        <w:tc>
          <w:tcPr>
            <w:tcW w:w="3005" w:type="dxa"/>
            <w:shd w:val="clear" w:color="auto" w:fill="auto"/>
            <w:vAlign w:val="center"/>
          </w:tcPr>
          <w:p w14:paraId="258425C4" w14:textId="77777777" w:rsidR="00915609" w:rsidRDefault="00361C24">
            <w:pPr>
              <w:pBdr>
                <w:top w:val="nil"/>
                <w:left w:val="nil"/>
                <w:bottom w:val="nil"/>
                <w:right w:val="nil"/>
                <w:between w:val="nil"/>
              </w:pBdr>
              <w:spacing w:after="0" w:line="240" w:lineRule="auto"/>
              <w:jc w:val="center"/>
              <w:rPr>
                <w:color w:val="000000"/>
                <w:sz w:val="22"/>
                <w:szCs w:val="22"/>
              </w:rPr>
            </w:pPr>
            <w:r>
              <w:rPr>
                <w:color w:val="000000"/>
                <w:sz w:val="22"/>
                <w:szCs w:val="22"/>
              </w:rPr>
              <w:t xml:space="preserve">data </w:t>
            </w:r>
            <w:r>
              <w:rPr>
                <w:color w:val="000000"/>
                <w:sz w:val="22"/>
                <w:szCs w:val="22"/>
                <w:vertAlign w:val="superscript"/>
              </w:rPr>
              <w:t>1</w:t>
            </w:r>
          </w:p>
        </w:tc>
      </w:tr>
    </w:tbl>
    <w:p w14:paraId="5830303E" w14:textId="77777777" w:rsidR="00915609" w:rsidRDefault="00915609">
      <w:pPr>
        <w:pBdr>
          <w:top w:val="nil"/>
          <w:left w:val="nil"/>
          <w:bottom w:val="nil"/>
          <w:right w:val="nil"/>
          <w:between w:val="nil"/>
        </w:pBdr>
        <w:spacing w:before="240" w:after="120" w:line="228" w:lineRule="auto"/>
        <w:jc w:val="both"/>
        <w:rPr>
          <w:color w:val="000000"/>
          <w:sz w:val="22"/>
          <w:szCs w:val="22"/>
        </w:rPr>
      </w:pPr>
    </w:p>
    <w:p w14:paraId="4BB7A0A6" w14:textId="77777777" w:rsidR="00915609" w:rsidRDefault="00361C24">
      <w:pPr>
        <w:pBdr>
          <w:top w:val="nil"/>
          <w:left w:val="nil"/>
          <w:bottom w:val="nil"/>
          <w:right w:val="nil"/>
          <w:between w:val="nil"/>
        </w:pBdr>
        <w:spacing w:before="240" w:after="120" w:line="228" w:lineRule="auto"/>
        <w:jc w:val="both"/>
        <w:rPr>
          <w:color w:val="000000"/>
          <w:sz w:val="22"/>
          <w:szCs w:val="22"/>
        </w:rPr>
      </w:pPr>
      <w:r>
        <w:rPr>
          <w:color w:val="000000"/>
          <w:sz w:val="22"/>
          <w:szCs w:val="22"/>
        </w:rPr>
        <w:t>Tables should be referred in the text, preferably near to the table’s placement.</w:t>
      </w:r>
    </w:p>
    <w:p w14:paraId="5E9AF03F" w14:textId="77777777" w:rsidR="00915609" w:rsidRDefault="00915609">
      <w:pPr>
        <w:pBdr>
          <w:top w:val="nil"/>
          <w:left w:val="nil"/>
          <w:bottom w:val="nil"/>
          <w:right w:val="nil"/>
          <w:between w:val="nil"/>
        </w:pBdr>
        <w:spacing w:after="0" w:line="240" w:lineRule="auto"/>
        <w:jc w:val="both"/>
        <w:rPr>
          <w:color w:val="000000"/>
          <w:sz w:val="22"/>
          <w:szCs w:val="22"/>
        </w:rPr>
      </w:pPr>
    </w:p>
    <w:p w14:paraId="78FF88F5" w14:textId="77777777" w:rsidR="00915609" w:rsidRDefault="00361C24">
      <w:pPr>
        <w:pBdr>
          <w:top w:val="nil"/>
          <w:left w:val="nil"/>
          <w:bottom w:val="nil"/>
          <w:right w:val="nil"/>
          <w:between w:val="nil"/>
        </w:pBdr>
        <w:spacing w:after="0" w:line="240" w:lineRule="auto"/>
        <w:jc w:val="center"/>
        <w:rPr>
          <w:color w:val="000000"/>
          <w:sz w:val="22"/>
          <w:szCs w:val="22"/>
        </w:rPr>
      </w:pPr>
      <w:r>
        <w:rPr>
          <w:noProof/>
          <w:color w:val="000000"/>
          <w:sz w:val="22"/>
          <w:szCs w:val="22"/>
        </w:rPr>
        <w:lastRenderedPageBreak/>
        <w:drawing>
          <wp:inline distT="0" distB="0" distL="0" distR="0" wp14:anchorId="72D15F06" wp14:editId="65376DE0">
            <wp:extent cx="3594296" cy="2609557"/>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362AAB" w14:textId="77777777" w:rsidR="00915609" w:rsidRDefault="00361C24">
      <w:pPr>
        <w:pBdr>
          <w:top w:val="nil"/>
          <w:left w:val="nil"/>
          <w:bottom w:val="nil"/>
          <w:right w:val="nil"/>
          <w:between w:val="nil"/>
        </w:pBdr>
        <w:spacing w:line="240" w:lineRule="auto"/>
        <w:jc w:val="center"/>
        <w:rPr>
          <w:color w:val="000000"/>
          <w:sz w:val="22"/>
          <w:szCs w:val="22"/>
        </w:rPr>
      </w:pPr>
      <w:r>
        <w:rPr>
          <w:b/>
          <w:bCs/>
          <w:color w:val="000000"/>
          <w:sz w:val="22"/>
          <w:szCs w:val="22"/>
        </w:rPr>
        <w:t>Figure 1</w:t>
      </w:r>
      <w:r>
        <w:rPr>
          <w:color w:val="000000"/>
          <w:sz w:val="22"/>
          <w:szCs w:val="22"/>
        </w:rPr>
        <w:t>. This is a figure. Schemes follow the same formatting</w:t>
      </w:r>
    </w:p>
    <w:p w14:paraId="7F0FD223" w14:textId="77777777" w:rsidR="00915609" w:rsidRDefault="00361C24">
      <w:pPr>
        <w:pBdr>
          <w:top w:val="nil"/>
          <w:left w:val="nil"/>
          <w:bottom w:val="nil"/>
          <w:right w:val="nil"/>
          <w:between w:val="nil"/>
        </w:pBdr>
        <w:spacing w:before="120" w:after="0"/>
        <w:ind w:left="425" w:hanging="425"/>
        <w:jc w:val="both"/>
        <w:rPr>
          <w:b/>
          <w:bCs/>
          <w:color w:val="2F3185"/>
          <w:sz w:val="22"/>
          <w:szCs w:val="22"/>
        </w:rPr>
      </w:pPr>
      <w:r>
        <w:rPr>
          <w:b/>
          <w:bCs/>
          <w:color w:val="2F3185"/>
          <w:sz w:val="22"/>
          <w:szCs w:val="22"/>
        </w:rPr>
        <w:t>Data Collection Technique</w:t>
      </w:r>
    </w:p>
    <w:p w14:paraId="1CFD77D6" w14:textId="77777777" w:rsidR="00915609" w:rsidRDefault="00361C24">
      <w:pPr>
        <w:pBdr>
          <w:top w:val="nil"/>
          <w:left w:val="nil"/>
          <w:bottom w:val="nil"/>
          <w:right w:val="nil"/>
          <w:between w:val="nil"/>
        </w:pBdr>
        <w:spacing w:after="0" w:line="240" w:lineRule="auto"/>
        <w:jc w:val="both"/>
        <w:rPr>
          <w:color w:val="000000"/>
          <w:sz w:val="22"/>
          <w:szCs w:val="22"/>
        </w:rPr>
      </w:pPr>
      <w:r>
        <w:rPr>
          <w:color w:val="000000"/>
          <w:sz w:val="22"/>
          <w:szCs w:val="22"/>
        </w:rPr>
        <w:t>State how the research data were collected. Write as concisely as possible.</w:t>
      </w:r>
    </w:p>
    <w:p w14:paraId="42EB0E9B" w14:textId="77777777" w:rsidR="00915609" w:rsidRDefault="00361C24">
      <w:pPr>
        <w:pBdr>
          <w:top w:val="nil"/>
          <w:left w:val="nil"/>
          <w:bottom w:val="nil"/>
          <w:right w:val="nil"/>
          <w:between w:val="nil"/>
        </w:pBdr>
        <w:spacing w:before="120" w:after="0"/>
        <w:ind w:left="425" w:hanging="425"/>
        <w:jc w:val="both"/>
        <w:rPr>
          <w:b/>
          <w:bCs/>
          <w:color w:val="0070C0"/>
          <w:sz w:val="22"/>
          <w:szCs w:val="22"/>
        </w:rPr>
      </w:pPr>
      <w:r>
        <w:rPr>
          <w:b/>
          <w:bCs/>
          <w:color w:val="2F3185"/>
          <w:sz w:val="22"/>
          <w:szCs w:val="22"/>
        </w:rPr>
        <w:t>Data Analysis</w:t>
      </w:r>
    </w:p>
    <w:p w14:paraId="4E9C1D2F" w14:textId="77777777" w:rsidR="00915609" w:rsidRDefault="00361C24">
      <w:pPr>
        <w:pBdr>
          <w:top w:val="nil"/>
          <w:left w:val="nil"/>
          <w:bottom w:val="nil"/>
          <w:right w:val="nil"/>
          <w:between w:val="nil"/>
        </w:pBdr>
        <w:spacing w:line="240" w:lineRule="auto"/>
        <w:jc w:val="both"/>
        <w:rPr>
          <w:color w:val="000000"/>
          <w:sz w:val="22"/>
          <w:szCs w:val="22"/>
        </w:rPr>
      </w:pPr>
      <w:r>
        <w:rPr>
          <w:color w:val="000000"/>
          <w:sz w:val="22"/>
          <w:szCs w:val="22"/>
        </w:rPr>
        <w:t xml:space="preserve">State how the data analysis </w:t>
      </w:r>
      <w:proofErr w:type="gramStart"/>
      <w:r>
        <w:rPr>
          <w:color w:val="000000"/>
          <w:sz w:val="22"/>
          <w:szCs w:val="22"/>
        </w:rPr>
        <w:t>were</w:t>
      </w:r>
      <w:proofErr w:type="gramEnd"/>
      <w:r>
        <w:rPr>
          <w:color w:val="000000"/>
          <w:sz w:val="22"/>
          <w:szCs w:val="22"/>
        </w:rPr>
        <w:t xml:space="preserve"> done. Data analysis is the process of cleaning, transforming, and </w:t>
      </w:r>
      <w:proofErr w:type="spellStart"/>
      <w:r>
        <w:rPr>
          <w:color w:val="000000"/>
          <w:sz w:val="22"/>
          <w:szCs w:val="22"/>
        </w:rPr>
        <w:t>modeling</w:t>
      </w:r>
      <w:proofErr w:type="spellEnd"/>
      <w:r>
        <w:rPr>
          <w:color w:val="000000"/>
          <w:sz w:val="22"/>
          <w:szCs w:val="22"/>
        </w:rPr>
        <w:t xml:space="preserve"> data in order to discover useful information for determining the research's outcome. The objective of data analysis is to extract useful information</w:t>
      </w:r>
      <w:r>
        <w:rPr>
          <w:color w:val="000000"/>
          <w:sz w:val="22"/>
          <w:szCs w:val="22"/>
        </w:rPr>
        <w:t xml:space="preserve"> from data and make decisions based on this information.</w:t>
      </w:r>
    </w:p>
    <w:p w14:paraId="56187BD9" w14:textId="77777777" w:rsidR="00915609" w:rsidRDefault="00361C24">
      <w:pPr>
        <w:pBdr>
          <w:top w:val="nil"/>
          <w:left w:val="nil"/>
          <w:bottom w:val="nil"/>
          <w:right w:val="nil"/>
          <w:between w:val="nil"/>
        </w:pBdr>
        <w:spacing w:after="0" w:line="240" w:lineRule="auto"/>
        <w:jc w:val="both"/>
        <w:rPr>
          <w:b/>
          <w:bCs/>
          <w:color w:val="2F3185"/>
          <w:sz w:val="22"/>
          <w:szCs w:val="22"/>
        </w:rPr>
      </w:pPr>
      <w:r>
        <w:rPr>
          <w:b/>
          <w:bCs/>
          <w:color w:val="2F3185"/>
          <w:sz w:val="22"/>
          <w:szCs w:val="22"/>
        </w:rPr>
        <w:t>RESULTS</w:t>
      </w:r>
    </w:p>
    <w:p w14:paraId="045423A1" w14:textId="77777777" w:rsidR="00915609" w:rsidRDefault="00361C24">
      <w:pPr>
        <w:pBdr>
          <w:top w:val="nil"/>
          <w:left w:val="nil"/>
          <w:bottom w:val="nil"/>
          <w:right w:val="nil"/>
          <w:between w:val="nil"/>
        </w:pBdr>
        <w:spacing w:line="240" w:lineRule="auto"/>
        <w:jc w:val="both"/>
        <w:rPr>
          <w:color w:val="000000"/>
          <w:sz w:val="22"/>
          <w:szCs w:val="22"/>
        </w:rPr>
      </w:pPr>
      <w:r>
        <w:rPr>
          <w:color w:val="000000"/>
          <w:sz w:val="22"/>
          <w:szCs w:val="22"/>
        </w:rPr>
        <w:t>This section may be divided by subheadings. It should provide a concise and precise description of the experimental results, their interpretation, as well as the experimental conclusions that</w:t>
      </w:r>
      <w:r>
        <w:rPr>
          <w:color w:val="000000"/>
          <w:sz w:val="22"/>
          <w:szCs w:val="22"/>
        </w:rPr>
        <w:t xml:space="preserve"> can be drawn</w:t>
      </w:r>
      <w:r>
        <w:rPr>
          <w:b/>
          <w:bCs/>
          <w:color w:val="000000"/>
          <w:sz w:val="22"/>
          <w:szCs w:val="22"/>
        </w:rPr>
        <w:t>.</w:t>
      </w:r>
    </w:p>
    <w:p w14:paraId="2AE78B44" w14:textId="77777777" w:rsidR="00915609" w:rsidRDefault="00361C24">
      <w:pPr>
        <w:pBdr>
          <w:top w:val="nil"/>
          <w:left w:val="nil"/>
          <w:bottom w:val="nil"/>
          <w:right w:val="nil"/>
          <w:between w:val="nil"/>
        </w:pBdr>
        <w:spacing w:before="240" w:after="0" w:line="240" w:lineRule="auto"/>
        <w:jc w:val="both"/>
        <w:rPr>
          <w:color w:val="000000"/>
          <w:sz w:val="22"/>
          <w:szCs w:val="22"/>
        </w:rPr>
      </w:pPr>
      <w:r>
        <w:rPr>
          <w:b/>
          <w:bCs/>
          <w:color w:val="2F3185"/>
          <w:sz w:val="22"/>
          <w:szCs w:val="22"/>
        </w:rPr>
        <w:t>DISCUSSIONS</w:t>
      </w:r>
      <w:r>
        <w:rPr>
          <w:b/>
          <w:bCs/>
          <w:color w:val="0070C0"/>
          <w:sz w:val="22"/>
          <w:szCs w:val="22"/>
        </w:rPr>
        <w:br/>
      </w:r>
      <w:r>
        <w:rPr>
          <w:color w:val="000000"/>
          <w:sz w:val="22"/>
          <w:szCs w:val="22"/>
        </w:rPr>
        <w:t>The authors should discuss the results and how they can be interpreted in light of prior research and the working hypotheses. Discuss the findings and their implications in the broadest context possible. Additionally, future research directions may be high</w:t>
      </w:r>
      <w:r>
        <w:rPr>
          <w:color w:val="000000"/>
          <w:sz w:val="22"/>
          <w:szCs w:val="22"/>
        </w:rPr>
        <w:t>lighted.</w:t>
      </w:r>
    </w:p>
    <w:p w14:paraId="0FD676E3" w14:textId="77777777" w:rsidR="00915609" w:rsidRDefault="00361C24">
      <w:pPr>
        <w:pBdr>
          <w:top w:val="nil"/>
          <w:left w:val="nil"/>
          <w:bottom w:val="nil"/>
          <w:right w:val="nil"/>
          <w:between w:val="nil"/>
        </w:pBdr>
        <w:spacing w:before="240" w:after="0" w:line="240" w:lineRule="auto"/>
        <w:jc w:val="both"/>
        <w:rPr>
          <w:b/>
          <w:bCs/>
          <w:color w:val="0070C0"/>
          <w:sz w:val="22"/>
          <w:szCs w:val="22"/>
        </w:rPr>
      </w:pPr>
      <w:r>
        <w:rPr>
          <w:b/>
          <w:bCs/>
          <w:color w:val="2F3185"/>
          <w:sz w:val="22"/>
          <w:szCs w:val="22"/>
        </w:rPr>
        <w:t>CONCLUSION</w:t>
      </w:r>
    </w:p>
    <w:p w14:paraId="319BAB5F"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The purpose of the conclusion is to help the reader understand why your research is significant after reading the paper. A conclusion is not merely a summary of your points or a restatement of your research problem; it is a synthesis of</w:t>
      </w:r>
      <w:r>
        <w:rPr>
          <w:color w:val="000000"/>
          <w:sz w:val="22"/>
          <w:szCs w:val="22"/>
        </w:rPr>
        <w:t xml:space="preserve"> the most significant points. For </w:t>
      </w:r>
      <w:r>
        <w:rPr>
          <w:sz w:val="22"/>
          <w:szCs w:val="22"/>
        </w:rPr>
        <w:t>most</w:t>
      </w:r>
      <w:r>
        <w:rPr>
          <w:color w:val="000000"/>
          <w:sz w:val="22"/>
          <w:szCs w:val="22"/>
        </w:rPr>
        <w:t xml:space="preserve"> essays, one well-developed paragraph is sufficient for the conclusion, but in some instances, two or three paragraphs may be necessary</w:t>
      </w:r>
      <w:r>
        <w:rPr>
          <w:b/>
          <w:bCs/>
          <w:color w:val="000000"/>
          <w:sz w:val="22"/>
          <w:szCs w:val="22"/>
        </w:rPr>
        <w:t xml:space="preserve">. </w:t>
      </w:r>
      <w:r>
        <w:rPr>
          <w:sz w:val="22"/>
          <w:szCs w:val="22"/>
        </w:rPr>
        <w:t>The Conclusion section is</w:t>
      </w:r>
      <w:r>
        <w:rPr>
          <w:b/>
          <w:bCs/>
          <w:sz w:val="22"/>
          <w:szCs w:val="22"/>
        </w:rPr>
        <w:t xml:space="preserve"> </w:t>
      </w:r>
      <w:r>
        <w:rPr>
          <w:sz w:val="22"/>
          <w:szCs w:val="22"/>
        </w:rPr>
        <w:t>i</w:t>
      </w:r>
      <w:r>
        <w:rPr>
          <w:color w:val="000000"/>
          <w:sz w:val="22"/>
          <w:szCs w:val="22"/>
        </w:rPr>
        <w:t xml:space="preserve">ntended not only to repeat findings. </w:t>
      </w:r>
      <w:r>
        <w:rPr>
          <w:sz w:val="22"/>
          <w:szCs w:val="22"/>
        </w:rPr>
        <w:t>The conclusion</w:t>
      </w:r>
      <w:r>
        <w:rPr>
          <w:color w:val="000000"/>
          <w:sz w:val="22"/>
          <w:szCs w:val="22"/>
        </w:rPr>
        <w:t xml:space="preserve"> shall </w:t>
      </w:r>
      <w:r>
        <w:rPr>
          <w:sz w:val="22"/>
          <w:szCs w:val="22"/>
        </w:rPr>
        <w:t>contain</w:t>
      </w:r>
      <w:r>
        <w:rPr>
          <w:color w:val="000000"/>
          <w:sz w:val="22"/>
          <w:szCs w:val="22"/>
        </w:rPr>
        <w:t xml:space="preserve"> </w:t>
      </w:r>
      <w:proofErr w:type="spellStart"/>
      <w:r>
        <w:rPr>
          <w:color w:val="000000"/>
          <w:sz w:val="22"/>
          <w:szCs w:val="22"/>
        </w:rPr>
        <w:t>substantialization</w:t>
      </w:r>
      <w:proofErr w:type="spellEnd"/>
      <w:r>
        <w:rPr>
          <w:color w:val="000000"/>
          <w:sz w:val="22"/>
          <w:szCs w:val="22"/>
        </w:rPr>
        <w:t xml:space="preserve"> of meaning. It can present a statement of what is being expected as proposed in the “Introduction” and what has happened as reported in the </w:t>
      </w:r>
      <w:r>
        <w:rPr>
          <w:sz w:val="22"/>
          <w:szCs w:val="22"/>
        </w:rPr>
        <w:t>Results and Discussions</w:t>
      </w:r>
      <w:r>
        <w:rPr>
          <w:color w:val="000000"/>
          <w:sz w:val="22"/>
          <w:szCs w:val="22"/>
        </w:rPr>
        <w:t xml:space="preserve"> so that there is compatibility. An addition can be made co</w:t>
      </w:r>
      <w:r>
        <w:rPr>
          <w:color w:val="000000"/>
          <w:sz w:val="22"/>
          <w:szCs w:val="22"/>
        </w:rPr>
        <w:t xml:space="preserve">ncerning the prospects of enriching the research findings and developing the </w:t>
      </w:r>
      <w:r>
        <w:rPr>
          <w:sz w:val="22"/>
          <w:szCs w:val="22"/>
        </w:rPr>
        <w:t>potential</w:t>
      </w:r>
      <w:r>
        <w:rPr>
          <w:color w:val="000000"/>
          <w:sz w:val="22"/>
          <w:szCs w:val="22"/>
        </w:rPr>
        <w:t xml:space="preserve"> for future research. Conclusion must address the objectives of the research. The conclusion should describe innovations or improvements to existing knowledge. Using bull</w:t>
      </w:r>
      <w:r>
        <w:rPr>
          <w:color w:val="000000"/>
          <w:sz w:val="22"/>
          <w:szCs w:val="22"/>
        </w:rPr>
        <w:t xml:space="preserve">ets or numbering is prohibited. </w:t>
      </w:r>
      <w:r>
        <w:rPr>
          <w:b/>
          <w:bCs/>
          <w:color w:val="000000"/>
          <w:sz w:val="22"/>
          <w:szCs w:val="22"/>
        </w:rPr>
        <w:t>The conclusion should include: 1) Novelty and contribution, 2) Limitations and future research, 3) Implications or suggestions</w:t>
      </w:r>
      <w:r>
        <w:rPr>
          <w:color w:val="000000"/>
          <w:sz w:val="22"/>
          <w:szCs w:val="22"/>
        </w:rPr>
        <w:t>.</w:t>
      </w:r>
    </w:p>
    <w:p w14:paraId="3C0A2B3C" w14:textId="77777777" w:rsidR="00915609" w:rsidRDefault="00361C24">
      <w:pPr>
        <w:pBdr>
          <w:top w:val="nil"/>
          <w:left w:val="nil"/>
          <w:bottom w:val="nil"/>
          <w:right w:val="nil"/>
          <w:between w:val="nil"/>
        </w:pBdr>
        <w:spacing w:after="0" w:line="240" w:lineRule="auto"/>
        <w:ind w:firstLine="567"/>
        <w:jc w:val="both"/>
        <w:rPr>
          <w:color w:val="000000"/>
          <w:sz w:val="22"/>
          <w:szCs w:val="22"/>
        </w:rPr>
      </w:pPr>
      <w:r>
        <w:rPr>
          <w:color w:val="000000"/>
          <w:sz w:val="22"/>
          <w:szCs w:val="22"/>
        </w:rPr>
        <w:t>Example of Conclusion:</w:t>
      </w:r>
    </w:p>
    <w:p w14:paraId="6D2980D3" w14:textId="77777777" w:rsidR="00915609" w:rsidRDefault="00361C24">
      <w:pPr>
        <w:pBdr>
          <w:top w:val="nil"/>
          <w:left w:val="nil"/>
          <w:bottom w:val="nil"/>
          <w:right w:val="nil"/>
          <w:between w:val="nil"/>
        </w:pBdr>
        <w:spacing w:after="0" w:line="240" w:lineRule="auto"/>
        <w:ind w:firstLine="567"/>
        <w:jc w:val="both"/>
        <w:rPr>
          <w:b/>
          <w:bCs/>
          <w:color w:val="000000"/>
          <w:sz w:val="22"/>
          <w:szCs w:val="22"/>
        </w:rPr>
      </w:pPr>
      <w:r>
        <w:rPr>
          <w:b/>
          <w:bCs/>
          <w:color w:val="2F3185"/>
          <w:sz w:val="22"/>
          <w:szCs w:val="22"/>
        </w:rPr>
        <w:t>Novelty and contribution</w:t>
      </w:r>
    </w:p>
    <w:p w14:paraId="6C400B4C" w14:textId="77777777" w:rsidR="00915609" w:rsidRDefault="00361C24">
      <w:pPr>
        <w:pBdr>
          <w:top w:val="nil"/>
          <w:left w:val="nil"/>
          <w:bottom w:val="nil"/>
          <w:right w:val="nil"/>
          <w:between w:val="nil"/>
        </w:pBdr>
        <w:spacing w:after="0" w:line="240" w:lineRule="auto"/>
        <w:jc w:val="both"/>
        <w:rPr>
          <w:color w:val="000000"/>
          <w:sz w:val="22"/>
          <w:szCs w:val="22"/>
        </w:rPr>
      </w:pPr>
      <w:r>
        <w:rPr>
          <w:color w:val="000000"/>
          <w:sz w:val="22"/>
          <w:szCs w:val="22"/>
        </w:rPr>
        <w:t>Previous studies related to the social attitudes</w:t>
      </w:r>
      <w:r>
        <w:rPr>
          <w:color w:val="000000"/>
          <w:sz w:val="22"/>
          <w:szCs w:val="22"/>
        </w:rPr>
        <w:t xml:space="preserve"> assessment are limited to separated dimensions. A comprehensive social attitudes assessment </w:t>
      </w:r>
      <w:proofErr w:type="gramStart"/>
      <w:r>
        <w:rPr>
          <w:color w:val="000000"/>
          <w:sz w:val="22"/>
          <w:szCs w:val="22"/>
        </w:rPr>
        <w:t>receive</w:t>
      </w:r>
      <w:proofErr w:type="gramEnd"/>
      <w:r>
        <w:rPr>
          <w:color w:val="000000"/>
          <w:sz w:val="22"/>
          <w:szCs w:val="22"/>
        </w:rPr>
        <w:t xml:space="preserve"> a lack of formal research. The present study revealed the implementation of social attitudes assessment comprehensively. The present study's findings would</w:t>
      </w:r>
      <w:r>
        <w:rPr>
          <w:color w:val="000000"/>
          <w:sz w:val="22"/>
          <w:szCs w:val="22"/>
        </w:rPr>
        <w:t xml:space="preserve"> be essential for all elementary education parties to create an effective solution for this issue.</w:t>
      </w:r>
    </w:p>
    <w:p w14:paraId="6FFE4B22" w14:textId="77777777" w:rsidR="00915609" w:rsidRDefault="00361C24">
      <w:pPr>
        <w:pBdr>
          <w:top w:val="nil"/>
          <w:left w:val="nil"/>
          <w:bottom w:val="nil"/>
          <w:right w:val="nil"/>
          <w:between w:val="nil"/>
        </w:pBdr>
        <w:spacing w:after="0" w:line="240" w:lineRule="auto"/>
        <w:ind w:firstLine="567"/>
        <w:jc w:val="both"/>
        <w:rPr>
          <w:b/>
          <w:bCs/>
          <w:color w:val="000000"/>
          <w:sz w:val="22"/>
          <w:szCs w:val="22"/>
        </w:rPr>
      </w:pPr>
      <w:r>
        <w:rPr>
          <w:b/>
          <w:bCs/>
          <w:color w:val="2F3185"/>
          <w:sz w:val="22"/>
          <w:szCs w:val="22"/>
        </w:rPr>
        <w:lastRenderedPageBreak/>
        <w:t>Limitation and future study</w:t>
      </w:r>
    </w:p>
    <w:p w14:paraId="0995402E" w14:textId="77777777" w:rsidR="00915609" w:rsidRDefault="00361C24">
      <w:pPr>
        <w:pBdr>
          <w:top w:val="nil"/>
          <w:left w:val="nil"/>
          <w:bottom w:val="nil"/>
          <w:right w:val="nil"/>
          <w:between w:val="nil"/>
        </w:pBdr>
        <w:spacing w:after="0" w:line="240" w:lineRule="auto"/>
        <w:jc w:val="both"/>
        <w:rPr>
          <w:color w:val="000000"/>
          <w:sz w:val="22"/>
          <w:szCs w:val="22"/>
        </w:rPr>
      </w:pPr>
      <w:r>
        <w:rPr>
          <w:color w:val="000000"/>
          <w:sz w:val="22"/>
          <w:szCs w:val="22"/>
        </w:rPr>
        <w:t xml:space="preserve">The present study has several limitations. At first, it is related to the diversity of informants. Informants only selected from </w:t>
      </w:r>
      <w:r>
        <w:rPr>
          <w:color w:val="000000"/>
          <w:sz w:val="22"/>
          <w:szCs w:val="22"/>
        </w:rPr>
        <w:t xml:space="preserve">RA Kartini area, </w:t>
      </w:r>
      <w:proofErr w:type="spellStart"/>
      <w:r>
        <w:rPr>
          <w:color w:val="000000"/>
          <w:sz w:val="22"/>
          <w:szCs w:val="22"/>
        </w:rPr>
        <w:t>Karanganyar</w:t>
      </w:r>
      <w:proofErr w:type="spellEnd"/>
      <w:r>
        <w:rPr>
          <w:color w:val="000000"/>
          <w:sz w:val="22"/>
          <w:szCs w:val="22"/>
        </w:rPr>
        <w:t xml:space="preserve"> Regency, made the data less diverse. Second, the study duration was less than a year, so the data was not entirely comprehensive. At last, some informants (students) answered the questions unclearly. Future studies about implem</w:t>
      </w:r>
      <w:r>
        <w:rPr>
          <w:color w:val="000000"/>
          <w:sz w:val="22"/>
          <w:szCs w:val="22"/>
        </w:rPr>
        <w:t>enting social attitudes assessment would be better with more representative informants (from various islands) in a whole year study.</w:t>
      </w:r>
    </w:p>
    <w:p w14:paraId="3DCBDCAF" w14:textId="77777777" w:rsidR="00915609" w:rsidRDefault="00361C24">
      <w:pPr>
        <w:pBdr>
          <w:top w:val="nil"/>
          <w:left w:val="nil"/>
          <w:bottom w:val="nil"/>
          <w:right w:val="nil"/>
          <w:between w:val="nil"/>
        </w:pBdr>
        <w:spacing w:after="0" w:line="240" w:lineRule="auto"/>
        <w:ind w:firstLine="567"/>
        <w:jc w:val="both"/>
        <w:rPr>
          <w:b/>
          <w:bCs/>
          <w:color w:val="000000"/>
          <w:sz w:val="22"/>
          <w:szCs w:val="22"/>
        </w:rPr>
      </w:pPr>
      <w:r>
        <w:rPr>
          <w:b/>
          <w:bCs/>
          <w:color w:val="2F3185"/>
          <w:sz w:val="22"/>
          <w:szCs w:val="22"/>
        </w:rPr>
        <w:t>Implication and suggestions</w:t>
      </w:r>
    </w:p>
    <w:p w14:paraId="50DDF359" w14:textId="77777777" w:rsidR="00915609" w:rsidRDefault="00361C24">
      <w:pPr>
        <w:pBdr>
          <w:top w:val="nil"/>
          <w:left w:val="nil"/>
          <w:bottom w:val="nil"/>
          <w:right w:val="nil"/>
          <w:between w:val="nil"/>
        </w:pBdr>
        <w:spacing w:after="0" w:line="240" w:lineRule="auto"/>
        <w:jc w:val="both"/>
        <w:rPr>
          <w:color w:val="000000"/>
          <w:sz w:val="22"/>
          <w:szCs w:val="22"/>
        </w:rPr>
      </w:pPr>
      <w:r>
        <w:rPr>
          <w:color w:val="000000"/>
          <w:sz w:val="22"/>
          <w:szCs w:val="22"/>
        </w:rPr>
        <w:t>This study has three suggestions. First, the elementary schools' headmasters in Indonesia shoul</w:t>
      </w:r>
      <w:r>
        <w:rPr>
          <w:color w:val="000000"/>
          <w:sz w:val="22"/>
          <w:szCs w:val="22"/>
        </w:rPr>
        <w:t xml:space="preserve">d enrich the teachers' knowledge and insight related to social attitude assessment. Enrichment can be in the form of the following workshops or reading the </w:t>
      </w:r>
      <w:proofErr w:type="gramStart"/>
      <w:r>
        <w:rPr>
          <w:color w:val="000000"/>
          <w:sz w:val="22"/>
          <w:szCs w:val="22"/>
        </w:rPr>
        <w:t>up to date</w:t>
      </w:r>
      <w:proofErr w:type="gramEnd"/>
      <w:r>
        <w:rPr>
          <w:color w:val="000000"/>
          <w:sz w:val="22"/>
          <w:szCs w:val="22"/>
        </w:rPr>
        <w:t xml:space="preserve"> scientific paper or assessment guideline. Second, elementary school teachers in Indonesia</w:t>
      </w:r>
      <w:r>
        <w:rPr>
          <w:color w:val="000000"/>
          <w:sz w:val="22"/>
          <w:szCs w:val="22"/>
        </w:rPr>
        <w:t xml:space="preserve"> have to employ PA more seriously. The last one, the government, supported by researchers, has to design an excellent assessment system to solve time limitations.</w:t>
      </w:r>
    </w:p>
    <w:p w14:paraId="6DCD8C00" w14:textId="77777777" w:rsidR="00915609" w:rsidRDefault="00361C24">
      <w:pPr>
        <w:pBdr>
          <w:top w:val="nil"/>
          <w:left w:val="nil"/>
          <w:bottom w:val="nil"/>
          <w:right w:val="nil"/>
          <w:between w:val="nil"/>
        </w:pBdr>
        <w:spacing w:before="240" w:after="0"/>
        <w:rPr>
          <w:b/>
          <w:bCs/>
          <w:color w:val="0070C0"/>
          <w:sz w:val="22"/>
          <w:szCs w:val="22"/>
        </w:rPr>
      </w:pPr>
      <w:bookmarkStart w:id="0" w:name="_heading=h.mn23zttqepek" w:colFirst="0" w:colLast="0"/>
      <w:bookmarkEnd w:id="0"/>
      <w:r>
        <w:rPr>
          <w:b/>
          <w:bCs/>
          <w:color w:val="2F3185"/>
          <w:sz w:val="22"/>
          <w:szCs w:val="22"/>
        </w:rPr>
        <w:t>REFERENCES</w:t>
      </w:r>
      <w:r>
        <w:rPr>
          <w:b/>
          <w:bCs/>
          <w:color w:val="0070C0"/>
          <w:sz w:val="22"/>
          <w:szCs w:val="22"/>
        </w:rPr>
        <w:t xml:space="preserve"> </w:t>
      </w:r>
      <w:r>
        <w:rPr>
          <w:b/>
          <w:bCs/>
          <w:color w:val="2F3185"/>
          <w:sz w:val="22"/>
          <w:szCs w:val="22"/>
        </w:rPr>
        <w:t xml:space="preserve">(write using </w:t>
      </w:r>
      <w:hyperlink r:id="rId10">
        <w:r>
          <w:rPr>
            <w:b/>
            <w:bCs/>
            <w:color w:val="0000FF"/>
            <w:sz w:val="22"/>
            <w:szCs w:val="22"/>
            <w:u w:val="single"/>
          </w:rPr>
          <w:t>APA 7</w:t>
        </w:r>
      </w:hyperlink>
      <w:hyperlink r:id="rId11">
        <w:r>
          <w:rPr>
            <w:b/>
            <w:bCs/>
            <w:color w:val="0000FF"/>
            <w:sz w:val="22"/>
            <w:szCs w:val="22"/>
            <w:u w:val="single"/>
            <w:vertAlign w:val="superscript"/>
          </w:rPr>
          <w:t>th</w:t>
        </w:r>
      </w:hyperlink>
      <w:hyperlink r:id="rId12">
        <w:r>
          <w:rPr>
            <w:b/>
            <w:bCs/>
            <w:color w:val="0000FF"/>
            <w:sz w:val="22"/>
            <w:szCs w:val="22"/>
            <w:u w:val="single"/>
          </w:rPr>
          <w:t xml:space="preserve"> Style</w:t>
        </w:r>
      </w:hyperlink>
      <w:r>
        <w:rPr>
          <w:b/>
          <w:bCs/>
          <w:color w:val="2F3185"/>
          <w:sz w:val="22"/>
          <w:szCs w:val="22"/>
        </w:rPr>
        <w:t xml:space="preserve"> and </w:t>
      </w:r>
      <w:r>
        <w:rPr>
          <w:b/>
          <w:bCs/>
          <w:color w:val="2F3185"/>
          <w:sz w:val="22"/>
          <w:szCs w:val="22"/>
        </w:rPr>
        <w:t>it is recommended to use reference management software such as Zotero or Mendeley)</w:t>
      </w:r>
    </w:p>
    <w:p w14:paraId="0180C0B5" w14:textId="77777777" w:rsidR="00915609" w:rsidRDefault="00361C24">
      <w:pPr>
        <w:spacing w:after="0"/>
        <w:ind w:left="567" w:hanging="567"/>
        <w:jc w:val="both"/>
        <w:rPr>
          <w:sz w:val="22"/>
          <w:szCs w:val="22"/>
        </w:rPr>
      </w:pPr>
      <w:proofErr w:type="spellStart"/>
      <w:r>
        <w:rPr>
          <w:sz w:val="22"/>
          <w:szCs w:val="22"/>
        </w:rPr>
        <w:t>Agusdianita</w:t>
      </w:r>
      <w:proofErr w:type="spellEnd"/>
      <w:r>
        <w:rPr>
          <w:sz w:val="22"/>
          <w:szCs w:val="22"/>
        </w:rPr>
        <w:t xml:space="preserve">, N., </w:t>
      </w:r>
      <w:proofErr w:type="spellStart"/>
      <w:r>
        <w:rPr>
          <w:sz w:val="22"/>
          <w:szCs w:val="22"/>
        </w:rPr>
        <w:t>Danim</w:t>
      </w:r>
      <w:proofErr w:type="spellEnd"/>
      <w:r>
        <w:rPr>
          <w:sz w:val="22"/>
          <w:szCs w:val="22"/>
        </w:rPr>
        <w:t xml:space="preserve">, S., Susanta, A., </w:t>
      </w:r>
      <w:proofErr w:type="spellStart"/>
      <w:r>
        <w:rPr>
          <w:sz w:val="22"/>
          <w:szCs w:val="22"/>
        </w:rPr>
        <w:t>Dwi</w:t>
      </w:r>
      <w:proofErr w:type="spellEnd"/>
      <w:r>
        <w:rPr>
          <w:sz w:val="22"/>
          <w:szCs w:val="22"/>
        </w:rPr>
        <w:t xml:space="preserve"> </w:t>
      </w:r>
      <w:proofErr w:type="spellStart"/>
      <w:r>
        <w:rPr>
          <w:sz w:val="22"/>
          <w:szCs w:val="22"/>
        </w:rPr>
        <w:t>Shofiya</w:t>
      </w:r>
      <w:proofErr w:type="spellEnd"/>
      <w:r>
        <w:rPr>
          <w:sz w:val="22"/>
          <w:szCs w:val="22"/>
        </w:rPr>
        <w:t xml:space="preserve"> Maghfira </w:t>
      </w:r>
      <w:proofErr w:type="spellStart"/>
      <w:r>
        <w:rPr>
          <w:sz w:val="22"/>
          <w:szCs w:val="22"/>
        </w:rPr>
        <w:t>Izzania</w:t>
      </w:r>
      <w:proofErr w:type="spellEnd"/>
      <w:r>
        <w:rPr>
          <w:sz w:val="22"/>
          <w:szCs w:val="22"/>
        </w:rPr>
        <w:t xml:space="preserve">, R., &amp; </w:t>
      </w:r>
      <w:proofErr w:type="spellStart"/>
      <w:r>
        <w:rPr>
          <w:sz w:val="22"/>
          <w:szCs w:val="22"/>
        </w:rPr>
        <w:t>Irmayanti</w:t>
      </w:r>
      <w:proofErr w:type="spellEnd"/>
      <w:r>
        <w:rPr>
          <w:sz w:val="22"/>
          <w:szCs w:val="22"/>
        </w:rPr>
        <w:t>, M. (2024). Problem-based learning materials integrated with differentiated approaches</w:t>
      </w:r>
      <w:r>
        <w:rPr>
          <w:sz w:val="22"/>
          <w:szCs w:val="22"/>
        </w:rPr>
        <w:t xml:space="preserve"> to enhance elementary school students’ learning outcomes. </w:t>
      </w:r>
      <w:proofErr w:type="spellStart"/>
      <w:r>
        <w:rPr>
          <w:i/>
          <w:iCs/>
          <w:sz w:val="22"/>
          <w:szCs w:val="22"/>
        </w:rPr>
        <w:t>Profesi</w:t>
      </w:r>
      <w:proofErr w:type="spellEnd"/>
      <w:r>
        <w:rPr>
          <w:i/>
          <w:iCs/>
          <w:sz w:val="22"/>
          <w:szCs w:val="22"/>
        </w:rPr>
        <w:t xml:space="preserve"> Pendidikan Dasar</w:t>
      </w:r>
      <w:r>
        <w:rPr>
          <w:sz w:val="22"/>
          <w:szCs w:val="22"/>
        </w:rPr>
        <w:t xml:space="preserve">, 161-182.  </w:t>
      </w:r>
      <w:hyperlink r:id="rId13">
        <w:r>
          <w:rPr>
            <w:color w:val="0000FF"/>
            <w:sz w:val="22"/>
            <w:szCs w:val="22"/>
            <w:u w:val="single"/>
          </w:rPr>
          <w:t>https://doi.org/10.23917/ppd.v11i2.6441</w:t>
        </w:r>
      </w:hyperlink>
      <w:r>
        <w:rPr>
          <w:sz w:val="22"/>
          <w:szCs w:val="22"/>
        </w:rPr>
        <w:t xml:space="preserve"> </w:t>
      </w:r>
    </w:p>
    <w:p w14:paraId="436D9806" w14:textId="77777777" w:rsidR="00915609" w:rsidRDefault="00361C24">
      <w:pPr>
        <w:spacing w:after="0"/>
        <w:ind w:left="567" w:hanging="567"/>
        <w:jc w:val="both"/>
        <w:rPr>
          <w:sz w:val="22"/>
          <w:szCs w:val="22"/>
        </w:rPr>
      </w:pPr>
      <w:proofErr w:type="spellStart"/>
      <w:r>
        <w:rPr>
          <w:sz w:val="22"/>
          <w:szCs w:val="22"/>
        </w:rPr>
        <w:t>Azzalini</w:t>
      </w:r>
      <w:proofErr w:type="spellEnd"/>
      <w:r>
        <w:rPr>
          <w:sz w:val="22"/>
          <w:szCs w:val="22"/>
        </w:rPr>
        <w:t xml:space="preserve">, Adelchi., &amp; Capitanio, Antonella. (2018). </w:t>
      </w:r>
      <w:r>
        <w:rPr>
          <w:i/>
          <w:iCs/>
          <w:sz w:val="22"/>
          <w:szCs w:val="22"/>
        </w:rPr>
        <w:t>The skew-normal and related families.</w:t>
      </w:r>
      <w:r>
        <w:rPr>
          <w:sz w:val="22"/>
          <w:szCs w:val="22"/>
        </w:rPr>
        <w:t xml:space="preserve"> Cambridge University Press.</w:t>
      </w:r>
    </w:p>
    <w:p w14:paraId="5E6E07D4" w14:textId="77777777" w:rsidR="00915609" w:rsidRDefault="00361C24">
      <w:pPr>
        <w:spacing w:after="0"/>
        <w:ind w:left="567" w:hanging="567"/>
        <w:jc w:val="both"/>
        <w:rPr>
          <w:sz w:val="22"/>
          <w:szCs w:val="22"/>
        </w:rPr>
      </w:pPr>
      <w:r>
        <w:rPr>
          <w:sz w:val="22"/>
          <w:szCs w:val="22"/>
        </w:rPr>
        <w:t xml:space="preserve">Badawi, S., </w:t>
      </w:r>
      <w:proofErr w:type="spellStart"/>
      <w:r>
        <w:rPr>
          <w:sz w:val="22"/>
          <w:szCs w:val="22"/>
        </w:rPr>
        <w:t>Carrubbo</w:t>
      </w:r>
      <w:proofErr w:type="spellEnd"/>
      <w:r>
        <w:rPr>
          <w:sz w:val="22"/>
          <w:szCs w:val="22"/>
        </w:rPr>
        <w:t xml:space="preserve">, L., </w:t>
      </w:r>
      <w:proofErr w:type="spellStart"/>
      <w:r>
        <w:rPr>
          <w:sz w:val="22"/>
          <w:szCs w:val="22"/>
        </w:rPr>
        <w:t>Dragoicea</w:t>
      </w:r>
      <w:proofErr w:type="spellEnd"/>
      <w:r>
        <w:rPr>
          <w:sz w:val="22"/>
          <w:szCs w:val="22"/>
        </w:rPr>
        <w:t xml:space="preserve">, M., &amp; </w:t>
      </w:r>
      <w:proofErr w:type="spellStart"/>
      <w:r>
        <w:rPr>
          <w:sz w:val="22"/>
          <w:szCs w:val="22"/>
        </w:rPr>
        <w:t>Walletzký</w:t>
      </w:r>
      <w:proofErr w:type="spellEnd"/>
      <w:r>
        <w:rPr>
          <w:sz w:val="22"/>
          <w:szCs w:val="22"/>
        </w:rPr>
        <w:t>, L. (2021). An analysis of the complex education service for resilience in a multi-co</w:t>
      </w:r>
      <w:r>
        <w:rPr>
          <w:sz w:val="22"/>
          <w:szCs w:val="22"/>
        </w:rPr>
        <w:t>ntextual framework. In </w:t>
      </w:r>
      <w:r>
        <w:rPr>
          <w:i/>
          <w:iCs/>
          <w:sz w:val="22"/>
          <w:szCs w:val="22"/>
        </w:rPr>
        <w:t>INTED2021 Proceedings</w:t>
      </w:r>
      <w:r>
        <w:rPr>
          <w:sz w:val="22"/>
          <w:szCs w:val="22"/>
        </w:rPr>
        <w:t xml:space="preserve"> (pp. 5159-5168). IATED. </w:t>
      </w:r>
      <w:hyperlink r:id="rId14">
        <w:r>
          <w:rPr>
            <w:color w:val="0000FF"/>
            <w:sz w:val="22"/>
            <w:szCs w:val="22"/>
            <w:u w:val="single"/>
          </w:rPr>
          <w:t>https://doi.org/10.21125/inted.2021.1060</w:t>
        </w:r>
      </w:hyperlink>
      <w:r>
        <w:rPr>
          <w:sz w:val="22"/>
          <w:szCs w:val="22"/>
        </w:rPr>
        <w:t xml:space="preserve"> </w:t>
      </w:r>
    </w:p>
    <w:p w14:paraId="3E2F39AA" w14:textId="77777777" w:rsidR="00915609" w:rsidRDefault="00361C24">
      <w:pPr>
        <w:spacing w:after="0"/>
        <w:ind w:left="567" w:hanging="567"/>
        <w:jc w:val="both"/>
        <w:rPr>
          <w:sz w:val="22"/>
          <w:szCs w:val="22"/>
        </w:rPr>
      </w:pPr>
      <w:r>
        <w:rPr>
          <w:sz w:val="22"/>
          <w:szCs w:val="22"/>
        </w:rPr>
        <w:t xml:space="preserve">Boadu, S. K., &amp; </w:t>
      </w:r>
      <w:proofErr w:type="spellStart"/>
      <w:r>
        <w:rPr>
          <w:sz w:val="22"/>
          <w:szCs w:val="22"/>
        </w:rPr>
        <w:t>Bonyah</w:t>
      </w:r>
      <w:proofErr w:type="spellEnd"/>
      <w:r>
        <w:rPr>
          <w:sz w:val="22"/>
          <w:szCs w:val="22"/>
        </w:rPr>
        <w:t>, E. (2024). The role of philosophy of mathematics education in</w:t>
      </w:r>
      <w:r>
        <w:rPr>
          <w:sz w:val="22"/>
          <w:szCs w:val="22"/>
        </w:rPr>
        <w:t xml:space="preserve"> mathematics teacher education. </w:t>
      </w:r>
      <w:r>
        <w:rPr>
          <w:i/>
          <w:iCs/>
          <w:sz w:val="22"/>
          <w:szCs w:val="22"/>
        </w:rPr>
        <w:t>Cogent Education</w:t>
      </w:r>
      <w:r>
        <w:rPr>
          <w:sz w:val="22"/>
          <w:szCs w:val="22"/>
        </w:rPr>
        <w:t xml:space="preserve">, 11(1). </w:t>
      </w:r>
      <w:hyperlink r:id="rId15">
        <w:r>
          <w:rPr>
            <w:color w:val="0000FF"/>
            <w:sz w:val="22"/>
            <w:szCs w:val="22"/>
            <w:u w:val="single"/>
          </w:rPr>
          <w:t>https://doi.org/10.1080/2331186X.2024.2433832</w:t>
        </w:r>
      </w:hyperlink>
    </w:p>
    <w:p w14:paraId="34C40CF2" w14:textId="77777777" w:rsidR="00915609" w:rsidRDefault="00361C24">
      <w:pPr>
        <w:spacing w:after="0"/>
        <w:ind w:left="567" w:hanging="567"/>
        <w:jc w:val="both"/>
        <w:rPr>
          <w:sz w:val="22"/>
          <w:szCs w:val="22"/>
        </w:rPr>
      </w:pPr>
      <w:proofErr w:type="spellStart"/>
      <w:r>
        <w:rPr>
          <w:sz w:val="22"/>
          <w:szCs w:val="22"/>
        </w:rPr>
        <w:t>Chandrasegaran</w:t>
      </w:r>
      <w:proofErr w:type="spellEnd"/>
      <w:r>
        <w:rPr>
          <w:sz w:val="22"/>
          <w:szCs w:val="22"/>
        </w:rPr>
        <w:t xml:space="preserve">, A. L., </w:t>
      </w:r>
      <w:proofErr w:type="spellStart"/>
      <w:r>
        <w:rPr>
          <w:sz w:val="22"/>
          <w:szCs w:val="22"/>
        </w:rPr>
        <w:t>Treagust</w:t>
      </w:r>
      <w:proofErr w:type="spellEnd"/>
      <w:r>
        <w:rPr>
          <w:sz w:val="22"/>
          <w:szCs w:val="22"/>
        </w:rPr>
        <w:t>, D. F., &amp; Mocerino, M. (2007). The development of a two-</w:t>
      </w:r>
      <w:r>
        <w:rPr>
          <w:sz w:val="22"/>
          <w:szCs w:val="22"/>
        </w:rPr>
        <w:t xml:space="preserve">tier multiple-choice diagnostic instrument for evaluating secondary school students’ ability to describe and explain chemical reactions using multiple levels of representation. </w:t>
      </w:r>
      <w:r>
        <w:rPr>
          <w:i/>
          <w:iCs/>
          <w:sz w:val="22"/>
          <w:szCs w:val="22"/>
        </w:rPr>
        <w:t>Chemistry Education Research and Practice,</w:t>
      </w:r>
      <w:r>
        <w:rPr>
          <w:sz w:val="22"/>
          <w:szCs w:val="22"/>
        </w:rPr>
        <w:t xml:space="preserve"> 8(3), 293–307. </w:t>
      </w:r>
      <w:hyperlink r:id="rId16">
        <w:r>
          <w:rPr>
            <w:color w:val="0000FF"/>
            <w:sz w:val="22"/>
            <w:szCs w:val="22"/>
            <w:u w:val="single"/>
          </w:rPr>
          <w:t>https://doi.org/10.1039/B7RP90006F</w:t>
        </w:r>
      </w:hyperlink>
    </w:p>
    <w:p w14:paraId="60315FC0" w14:textId="77777777" w:rsidR="00915609" w:rsidRDefault="00361C24">
      <w:pPr>
        <w:spacing w:after="0"/>
        <w:ind w:left="567" w:hanging="567"/>
        <w:jc w:val="both"/>
        <w:rPr>
          <w:sz w:val="22"/>
          <w:szCs w:val="22"/>
        </w:rPr>
      </w:pPr>
      <w:r>
        <w:rPr>
          <w:sz w:val="22"/>
          <w:szCs w:val="22"/>
        </w:rPr>
        <w:t>del Valle-Ramón, D., Muñoz-</w:t>
      </w:r>
      <w:proofErr w:type="spellStart"/>
      <w:r>
        <w:rPr>
          <w:sz w:val="22"/>
          <w:szCs w:val="22"/>
        </w:rPr>
        <w:t>Repiso</w:t>
      </w:r>
      <w:proofErr w:type="spellEnd"/>
      <w:r>
        <w:rPr>
          <w:sz w:val="22"/>
          <w:szCs w:val="22"/>
        </w:rPr>
        <w:t xml:space="preserve">, A. G. V., &amp; Gómez-Pablos, V. B. (2020). Project-based learning through the </w:t>
      </w:r>
      <w:proofErr w:type="spellStart"/>
      <w:r>
        <w:rPr>
          <w:sz w:val="22"/>
          <w:szCs w:val="22"/>
        </w:rPr>
        <w:t>youtube</w:t>
      </w:r>
      <w:proofErr w:type="spellEnd"/>
      <w:r>
        <w:rPr>
          <w:sz w:val="22"/>
          <w:szCs w:val="22"/>
        </w:rPr>
        <w:t xml:space="preserve"> platform for teaching mathematics in primary education. </w:t>
      </w:r>
      <w:r>
        <w:rPr>
          <w:i/>
          <w:iCs/>
          <w:sz w:val="22"/>
          <w:szCs w:val="22"/>
        </w:rPr>
        <w:t>Education in t</w:t>
      </w:r>
      <w:r>
        <w:rPr>
          <w:i/>
          <w:iCs/>
          <w:sz w:val="22"/>
          <w:szCs w:val="22"/>
        </w:rPr>
        <w:t>he Knowledge Society,</w:t>
      </w:r>
      <w:r>
        <w:rPr>
          <w:sz w:val="22"/>
          <w:szCs w:val="22"/>
        </w:rPr>
        <w:t xml:space="preserve"> 21, 1–9. </w:t>
      </w:r>
      <w:hyperlink r:id="rId17">
        <w:r>
          <w:rPr>
            <w:color w:val="0000FF"/>
            <w:sz w:val="22"/>
            <w:szCs w:val="22"/>
            <w:u w:val="single"/>
          </w:rPr>
          <w:t>https://doi.org/10.14201/eks.20272</w:t>
        </w:r>
      </w:hyperlink>
    </w:p>
    <w:p w14:paraId="61333FA9" w14:textId="77777777" w:rsidR="00915609" w:rsidRDefault="00361C24">
      <w:pPr>
        <w:spacing w:after="0"/>
        <w:ind w:left="567" w:hanging="567"/>
        <w:jc w:val="both"/>
        <w:rPr>
          <w:sz w:val="22"/>
          <w:szCs w:val="22"/>
        </w:rPr>
      </w:pPr>
      <w:proofErr w:type="spellStart"/>
      <w:r>
        <w:rPr>
          <w:sz w:val="22"/>
          <w:szCs w:val="22"/>
        </w:rPr>
        <w:t>Dzulfikar</w:t>
      </w:r>
      <w:proofErr w:type="spellEnd"/>
      <w:r>
        <w:rPr>
          <w:sz w:val="22"/>
          <w:szCs w:val="22"/>
        </w:rPr>
        <w:t xml:space="preserve">, A., &amp; </w:t>
      </w:r>
      <w:proofErr w:type="spellStart"/>
      <w:r>
        <w:rPr>
          <w:sz w:val="22"/>
          <w:szCs w:val="22"/>
        </w:rPr>
        <w:t>Vitantri</w:t>
      </w:r>
      <w:proofErr w:type="spellEnd"/>
      <w:r>
        <w:rPr>
          <w:sz w:val="22"/>
          <w:szCs w:val="22"/>
        </w:rPr>
        <w:t xml:space="preserve">, C. A. (2017). </w:t>
      </w:r>
      <w:proofErr w:type="spellStart"/>
      <w:r>
        <w:rPr>
          <w:sz w:val="22"/>
          <w:szCs w:val="22"/>
        </w:rPr>
        <w:t>Miskonsepsi</w:t>
      </w:r>
      <w:proofErr w:type="spellEnd"/>
      <w:r>
        <w:rPr>
          <w:sz w:val="22"/>
          <w:szCs w:val="22"/>
        </w:rPr>
        <w:t xml:space="preserve"> </w:t>
      </w:r>
      <w:proofErr w:type="spellStart"/>
      <w:r>
        <w:rPr>
          <w:sz w:val="22"/>
          <w:szCs w:val="22"/>
        </w:rPr>
        <w:t>matematika</w:t>
      </w:r>
      <w:proofErr w:type="spellEnd"/>
      <w:r>
        <w:rPr>
          <w:sz w:val="22"/>
          <w:szCs w:val="22"/>
        </w:rPr>
        <w:t xml:space="preserve"> pada guru </w:t>
      </w:r>
      <w:proofErr w:type="spellStart"/>
      <w:r>
        <w:rPr>
          <w:sz w:val="22"/>
          <w:szCs w:val="22"/>
        </w:rPr>
        <w:t>sekolah</w:t>
      </w:r>
      <w:proofErr w:type="spellEnd"/>
      <w:r>
        <w:rPr>
          <w:sz w:val="22"/>
          <w:szCs w:val="22"/>
        </w:rPr>
        <w:t xml:space="preserve"> </w:t>
      </w:r>
      <w:proofErr w:type="spellStart"/>
      <w:r>
        <w:rPr>
          <w:sz w:val="22"/>
          <w:szCs w:val="22"/>
        </w:rPr>
        <w:t>dasar</w:t>
      </w:r>
      <w:proofErr w:type="spellEnd"/>
      <w:r>
        <w:rPr>
          <w:sz w:val="22"/>
          <w:szCs w:val="22"/>
        </w:rPr>
        <w:t xml:space="preserve">. </w:t>
      </w:r>
      <w:r>
        <w:rPr>
          <w:i/>
          <w:iCs/>
          <w:sz w:val="22"/>
          <w:szCs w:val="22"/>
        </w:rPr>
        <w:t>Suska Journal of Mathematics Education</w:t>
      </w:r>
      <w:r>
        <w:rPr>
          <w:sz w:val="22"/>
          <w:szCs w:val="22"/>
        </w:rPr>
        <w:t>, 3(1), 4</w:t>
      </w:r>
      <w:r>
        <w:rPr>
          <w:sz w:val="22"/>
          <w:szCs w:val="22"/>
        </w:rPr>
        <w:t xml:space="preserve">1. </w:t>
      </w:r>
      <w:hyperlink r:id="rId18">
        <w:r>
          <w:rPr>
            <w:color w:val="0000FF"/>
            <w:sz w:val="22"/>
            <w:szCs w:val="22"/>
            <w:u w:val="single"/>
          </w:rPr>
          <w:t>https://doi.org/10.24014/sjme.v3i1.3409</w:t>
        </w:r>
      </w:hyperlink>
    </w:p>
    <w:p w14:paraId="061E1A5A" w14:textId="77777777" w:rsidR="00915609" w:rsidRDefault="00361C24">
      <w:pPr>
        <w:spacing w:after="0"/>
        <w:ind w:left="567" w:hanging="567"/>
        <w:jc w:val="both"/>
        <w:rPr>
          <w:sz w:val="22"/>
          <w:szCs w:val="22"/>
        </w:rPr>
      </w:pPr>
      <w:r>
        <w:rPr>
          <w:sz w:val="22"/>
          <w:szCs w:val="22"/>
        </w:rPr>
        <w:t xml:space="preserve">Faragher, R., Clarke, B., &amp; Hil, J. C. (2016). </w:t>
      </w:r>
      <w:r>
        <w:rPr>
          <w:i/>
          <w:iCs/>
          <w:sz w:val="22"/>
          <w:szCs w:val="22"/>
        </w:rPr>
        <w:t>Inclusive Practices in Mathematics Education</w:t>
      </w:r>
      <w:r>
        <w:rPr>
          <w:sz w:val="22"/>
          <w:szCs w:val="22"/>
        </w:rPr>
        <w:t>. Research in Mathematics Education in Australasia 2012-2015, D</w:t>
      </w:r>
      <w:r>
        <w:rPr>
          <w:sz w:val="22"/>
          <w:szCs w:val="22"/>
        </w:rPr>
        <w:t xml:space="preserve">ecember 2017, 1–378. </w:t>
      </w:r>
      <w:hyperlink r:id="rId19">
        <w:r>
          <w:rPr>
            <w:color w:val="0000FF"/>
            <w:sz w:val="22"/>
            <w:szCs w:val="22"/>
            <w:u w:val="single"/>
          </w:rPr>
          <w:t>https://doi.org/10.1007/978-981-10-1419-2</w:t>
        </w:r>
      </w:hyperlink>
    </w:p>
    <w:p w14:paraId="4BE5AE02" w14:textId="77777777" w:rsidR="00915609" w:rsidRDefault="00361C24">
      <w:pPr>
        <w:spacing w:after="0"/>
        <w:ind w:left="567" w:hanging="567"/>
        <w:jc w:val="both"/>
        <w:rPr>
          <w:sz w:val="22"/>
          <w:szCs w:val="22"/>
        </w:rPr>
      </w:pPr>
      <w:r>
        <w:rPr>
          <w:sz w:val="22"/>
          <w:szCs w:val="22"/>
        </w:rPr>
        <w:t>Fujimoto, Y., Azmat, F., Presbitero, A., Thomas Homer, S., Poon, W. C., &amp; Lim, W. M. (2025). Navigating paradoxes of responsible man</w:t>
      </w:r>
      <w:r>
        <w:rPr>
          <w:sz w:val="22"/>
          <w:szCs w:val="22"/>
        </w:rPr>
        <w:t xml:space="preserve">agement education (RME): insights from the Global South. </w:t>
      </w:r>
      <w:r>
        <w:rPr>
          <w:i/>
          <w:iCs/>
          <w:sz w:val="22"/>
          <w:szCs w:val="22"/>
        </w:rPr>
        <w:t>Studies in Higher Education</w:t>
      </w:r>
      <w:r>
        <w:rPr>
          <w:sz w:val="22"/>
          <w:szCs w:val="22"/>
        </w:rPr>
        <w:t xml:space="preserve">, 1–18. </w:t>
      </w:r>
      <w:hyperlink r:id="rId20">
        <w:r>
          <w:rPr>
            <w:color w:val="0000FF"/>
            <w:sz w:val="22"/>
            <w:szCs w:val="22"/>
            <w:u w:val="single"/>
          </w:rPr>
          <w:t>https://doi.org/10.1080/03075079.2025.2546955</w:t>
        </w:r>
      </w:hyperlink>
    </w:p>
    <w:p w14:paraId="45516F39" w14:textId="77777777" w:rsidR="00915609" w:rsidRDefault="00361C24">
      <w:pPr>
        <w:spacing w:after="0"/>
        <w:ind w:left="567" w:hanging="567"/>
        <w:jc w:val="both"/>
        <w:rPr>
          <w:sz w:val="22"/>
          <w:szCs w:val="22"/>
        </w:rPr>
      </w:pPr>
      <w:r>
        <w:rPr>
          <w:sz w:val="22"/>
          <w:szCs w:val="22"/>
        </w:rPr>
        <w:t xml:space="preserve">Georgeson, L., Maslin, M., &amp; </w:t>
      </w:r>
      <w:proofErr w:type="spellStart"/>
      <w:r>
        <w:rPr>
          <w:sz w:val="22"/>
          <w:szCs w:val="22"/>
        </w:rPr>
        <w:t>Poessinouw</w:t>
      </w:r>
      <w:proofErr w:type="spellEnd"/>
      <w:r>
        <w:rPr>
          <w:sz w:val="22"/>
          <w:szCs w:val="22"/>
        </w:rPr>
        <w:t>, M. (2017). T</w:t>
      </w:r>
      <w:r>
        <w:rPr>
          <w:sz w:val="22"/>
          <w:szCs w:val="22"/>
        </w:rPr>
        <w:t xml:space="preserve">he global green economy: a review of concepts, definitions, measurement methodologies and their interactions. </w:t>
      </w:r>
      <w:r>
        <w:rPr>
          <w:i/>
          <w:iCs/>
          <w:sz w:val="22"/>
          <w:szCs w:val="22"/>
        </w:rPr>
        <w:t>Geo: Geography and Environment</w:t>
      </w:r>
      <w:r>
        <w:rPr>
          <w:sz w:val="22"/>
          <w:szCs w:val="22"/>
        </w:rPr>
        <w:t xml:space="preserve">, 4(1). </w:t>
      </w:r>
      <w:hyperlink r:id="rId21">
        <w:r>
          <w:rPr>
            <w:color w:val="0000FF"/>
            <w:sz w:val="22"/>
            <w:szCs w:val="22"/>
            <w:u w:val="single"/>
          </w:rPr>
          <w:t>https://doi.org/10.1002/geo2.36</w:t>
        </w:r>
      </w:hyperlink>
    </w:p>
    <w:p w14:paraId="6024B825" w14:textId="77777777" w:rsidR="00915609" w:rsidRDefault="00361C24">
      <w:pPr>
        <w:spacing w:after="0"/>
        <w:ind w:left="567" w:hanging="567"/>
        <w:jc w:val="both"/>
        <w:rPr>
          <w:sz w:val="22"/>
          <w:szCs w:val="22"/>
        </w:rPr>
      </w:pPr>
      <w:r>
        <w:rPr>
          <w:sz w:val="22"/>
          <w:szCs w:val="22"/>
        </w:rPr>
        <w:t xml:space="preserve">Gervasoni, A., &amp; Peter-Koop, A. (2020). Inclusive mathematics education. </w:t>
      </w:r>
      <w:r>
        <w:rPr>
          <w:i/>
          <w:iCs/>
          <w:sz w:val="22"/>
          <w:szCs w:val="22"/>
        </w:rPr>
        <w:t>In Mathematics Education Research Journal</w:t>
      </w:r>
      <w:r>
        <w:rPr>
          <w:sz w:val="22"/>
          <w:szCs w:val="22"/>
        </w:rPr>
        <w:t xml:space="preserve"> (Vol. 32, Issue 1). </w:t>
      </w:r>
      <w:hyperlink r:id="rId22">
        <w:r>
          <w:rPr>
            <w:color w:val="0000FF"/>
            <w:sz w:val="22"/>
            <w:szCs w:val="22"/>
            <w:u w:val="single"/>
          </w:rPr>
          <w:t>https://doi.org/10.1007/s13</w:t>
        </w:r>
        <w:r>
          <w:rPr>
            <w:color w:val="0000FF"/>
            <w:sz w:val="22"/>
            <w:szCs w:val="22"/>
            <w:u w:val="single"/>
          </w:rPr>
          <w:t>394-020-00315-0</w:t>
        </w:r>
      </w:hyperlink>
    </w:p>
    <w:p w14:paraId="7BB9467E" w14:textId="77777777" w:rsidR="00915609" w:rsidRDefault="00361C24">
      <w:pPr>
        <w:spacing w:after="0"/>
        <w:ind w:left="567" w:hanging="567"/>
        <w:jc w:val="both"/>
        <w:rPr>
          <w:sz w:val="22"/>
          <w:szCs w:val="22"/>
        </w:rPr>
      </w:pPr>
      <w:proofErr w:type="spellStart"/>
      <w:r>
        <w:rPr>
          <w:sz w:val="22"/>
          <w:szCs w:val="22"/>
        </w:rPr>
        <w:lastRenderedPageBreak/>
        <w:t>Hariastuti</w:t>
      </w:r>
      <w:proofErr w:type="spellEnd"/>
      <w:r>
        <w:rPr>
          <w:sz w:val="22"/>
          <w:szCs w:val="22"/>
        </w:rPr>
        <w:t xml:space="preserve">, R. M., Budiarto, M. T., &amp; </w:t>
      </w:r>
      <w:proofErr w:type="spellStart"/>
      <w:r>
        <w:rPr>
          <w:sz w:val="22"/>
          <w:szCs w:val="22"/>
        </w:rPr>
        <w:t>Manuharawati</w:t>
      </w:r>
      <w:proofErr w:type="spellEnd"/>
      <w:r>
        <w:rPr>
          <w:sz w:val="22"/>
          <w:szCs w:val="22"/>
        </w:rPr>
        <w:t xml:space="preserve">. (2022). Traditional houses in ethnomathematical-thematic-connected-based mathematics learning. </w:t>
      </w:r>
      <w:r>
        <w:rPr>
          <w:i/>
          <w:iCs/>
          <w:sz w:val="22"/>
          <w:szCs w:val="22"/>
        </w:rPr>
        <w:t>International Journal of Educational Methodology</w:t>
      </w:r>
      <w:r>
        <w:rPr>
          <w:sz w:val="22"/>
          <w:szCs w:val="22"/>
        </w:rPr>
        <w:t xml:space="preserve">, 8(3), 535–549. </w:t>
      </w:r>
      <w:hyperlink r:id="rId23">
        <w:r>
          <w:rPr>
            <w:color w:val="0000FF"/>
            <w:sz w:val="22"/>
            <w:szCs w:val="22"/>
            <w:u w:val="single"/>
          </w:rPr>
          <w:t>https://doi.org/10.12973/ijem.8.3.535</w:t>
        </w:r>
      </w:hyperlink>
    </w:p>
    <w:p w14:paraId="0DD254ED" w14:textId="77777777" w:rsidR="00915609" w:rsidRDefault="00361C24">
      <w:pPr>
        <w:spacing w:after="0"/>
        <w:ind w:left="567" w:hanging="567"/>
        <w:jc w:val="both"/>
        <w:rPr>
          <w:sz w:val="22"/>
          <w:szCs w:val="22"/>
        </w:rPr>
      </w:pPr>
      <w:proofErr w:type="spellStart"/>
      <w:r>
        <w:rPr>
          <w:sz w:val="22"/>
          <w:szCs w:val="22"/>
        </w:rPr>
        <w:t>Hastjarjo</w:t>
      </w:r>
      <w:proofErr w:type="spellEnd"/>
      <w:r>
        <w:rPr>
          <w:sz w:val="22"/>
          <w:szCs w:val="22"/>
        </w:rPr>
        <w:t xml:space="preserve">, T. D. (2019). </w:t>
      </w:r>
      <w:proofErr w:type="spellStart"/>
      <w:r>
        <w:rPr>
          <w:sz w:val="22"/>
          <w:szCs w:val="22"/>
        </w:rPr>
        <w:t>Rancangan</w:t>
      </w:r>
      <w:proofErr w:type="spellEnd"/>
      <w:r>
        <w:rPr>
          <w:sz w:val="22"/>
          <w:szCs w:val="22"/>
        </w:rPr>
        <w:t xml:space="preserve"> </w:t>
      </w:r>
      <w:proofErr w:type="spellStart"/>
      <w:r>
        <w:rPr>
          <w:sz w:val="22"/>
          <w:szCs w:val="22"/>
        </w:rPr>
        <w:t>Eksperimen</w:t>
      </w:r>
      <w:proofErr w:type="spellEnd"/>
      <w:r>
        <w:rPr>
          <w:sz w:val="22"/>
          <w:szCs w:val="22"/>
        </w:rPr>
        <w:t xml:space="preserve">-Kuasi. </w:t>
      </w:r>
      <w:proofErr w:type="spellStart"/>
      <w:r>
        <w:rPr>
          <w:i/>
          <w:iCs/>
          <w:sz w:val="22"/>
          <w:szCs w:val="22"/>
        </w:rPr>
        <w:t>Buletin</w:t>
      </w:r>
      <w:proofErr w:type="spellEnd"/>
      <w:r>
        <w:rPr>
          <w:i/>
          <w:iCs/>
          <w:sz w:val="22"/>
          <w:szCs w:val="22"/>
        </w:rPr>
        <w:t xml:space="preserve"> </w:t>
      </w:r>
      <w:proofErr w:type="spellStart"/>
      <w:r>
        <w:rPr>
          <w:i/>
          <w:iCs/>
          <w:sz w:val="22"/>
          <w:szCs w:val="22"/>
        </w:rPr>
        <w:t>Psikologi</w:t>
      </w:r>
      <w:proofErr w:type="spellEnd"/>
      <w:r>
        <w:rPr>
          <w:i/>
          <w:iCs/>
          <w:sz w:val="22"/>
          <w:szCs w:val="22"/>
        </w:rPr>
        <w:t>,</w:t>
      </w:r>
      <w:r>
        <w:rPr>
          <w:sz w:val="22"/>
          <w:szCs w:val="22"/>
        </w:rPr>
        <w:t xml:space="preserve"> 27(2), 187. </w:t>
      </w:r>
      <w:hyperlink r:id="rId24">
        <w:r>
          <w:rPr>
            <w:color w:val="0000FF"/>
            <w:sz w:val="22"/>
            <w:szCs w:val="22"/>
            <w:u w:val="single"/>
          </w:rPr>
          <w:t>https://doi.org/10.22146/buletinpsikol</w:t>
        </w:r>
        <w:r>
          <w:rPr>
            <w:color w:val="0000FF"/>
            <w:sz w:val="22"/>
            <w:szCs w:val="22"/>
            <w:u w:val="single"/>
          </w:rPr>
          <w:t>ogi.38619</w:t>
        </w:r>
      </w:hyperlink>
    </w:p>
    <w:p w14:paraId="5910B308" w14:textId="77777777" w:rsidR="00915609" w:rsidRDefault="00361C24">
      <w:pPr>
        <w:spacing w:after="0"/>
        <w:ind w:left="567" w:hanging="567"/>
        <w:jc w:val="both"/>
        <w:rPr>
          <w:sz w:val="22"/>
          <w:szCs w:val="22"/>
        </w:rPr>
      </w:pPr>
      <w:proofErr w:type="spellStart"/>
      <w:r>
        <w:rPr>
          <w:sz w:val="22"/>
          <w:szCs w:val="22"/>
        </w:rPr>
        <w:t>Helzi</w:t>
      </w:r>
      <w:proofErr w:type="spellEnd"/>
      <w:r>
        <w:rPr>
          <w:sz w:val="22"/>
          <w:szCs w:val="22"/>
        </w:rPr>
        <w:t xml:space="preserve">, H., </w:t>
      </w:r>
      <w:proofErr w:type="spellStart"/>
      <w:r>
        <w:rPr>
          <w:sz w:val="22"/>
          <w:szCs w:val="22"/>
        </w:rPr>
        <w:t>Minsih</w:t>
      </w:r>
      <w:proofErr w:type="spellEnd"/>
      <w:r>
        <w:rPr>
          <w:sz w:val="22"/>
          <w:szCs w:val="22"/>
        </w:rPr>
        <w:t xml:space="preserve">, M., </w:t>
      </w:r>
      <w:proofErr w:type="spellStart"/>
      <w:r>
        <w:rPr>
          <w:sz w:val="22"/>
          <w:szCs w:val="22"/>
        </w:rPr>
        <w:t>Desstya</w:t>
      </w:r>
      <w:proofErr w:type="spellEnd"/>
      <w:r>
        <w:rPr>
          <w:sz w:val="22"/>
          <w:szCs w:val="22"/>
        </w:rPr>
        <w:t>, A., &amp; Muhammad, M. (2024). Innovative approaches to science and social studies-</w:t>
      </w:r>
      <w:proofErr w:type="spellStart"/>
      <w:r>
        <w:rPr>
          <w:sz w:val="22"/>
          <w:szCs w:val="22"/>
        </w:rPr>
        <w:t>centered</w:t>
      </w:r>
      <w:proofErr w:type="spellEnd"/>
      <w:r>
        <w:rPr>
          <w:sz w:val="22"/>
          <w:szCs w:val="22"/>
        </w:rPr>
        <w:t xml:space="preserve"> learning with a focus on student wellbeing in elementary education. </w:t>
      </w:r>
      <w:proofErr w:type="spellStart"/>
      <w:r>
        <w:rPr>
          <w:i/>
          <w:iCs/>
          <w:sz w:val="22"/>
          <w:szCs w:val="22"/>
        </w:rPr>
        <w:t>Profesi</w:t>
      </w:r>
      <w:proofErr w:type="spellEnd"/>
      <w:r>
        <w:rPr>
          <w:i/>
          <w:iCs/>
          <w:sz w:val="22"/>
          <w:szCs w:val="22"/>
        </w:rPr>
        <w:t xml:space="preserve"> Pendidikan Dasar</w:t>
      </w:r>
      <w:r>
        <w:rPr>
          <w:sz w:val="22"/>
          <w:szCs w:val="22"/>
        </w:rPr>
        <w:t xml:space="preserve">, 64–79. </w:t>
      </w:r>
      <w:hyperlink r:id="rId25">
        <w:r>
          <w:rPr>
            <w:color w:val="0000FF"/>
            <w:sz w:val="22"/>
            <w:szCs w:val="22"/>
            <w:u w:val="single"/>
          </w:rPr>
          <w:t>https://doi.org/10.23917/ppd.v11i1.6173</w:t>
        </w:r>
      </w:hyperlink>
    </w:p>
    <w:p w14:paraId="70B116D1" w14:textId="77777777" w:rsidR="00915609" w:rsidRDefault="00361C24">
      <w:pPr>
        <w:spacing w:after="0"/>
        <w:ind w:left="567" w:hanging="567"/>
        <w:jc w:val="both"/>
        <w:rPr>
          <w:sz w:val="22"/>
          <w:szCs w:val="22"/>
        </w:rPr>
      </w:pPr>
      <w:proofErr w:type="spellStart"/>
      <w:r>
        <w:rPr>
          <w:sz w:val="22"/>
          <w:szCs w:val="22"/>
        </w:rPr>
        <w:t>Jdaitawi</w:t>
      </w:r>
      <w:proofErr w:type="spellEnd"/>
      <w:r>
        <w:rPr>
          <w:sz w:val="22"/>
          <w:szCs w:val="22"/>
        </w:rPr>
        <w:t xml:space="preserve">, M., </w:t>
      </w:r>
      <w:proofErr w:type="spellStart"/>
      <w:r>
        <w:rPr>
          <w:sz w:val="22"/>
          <w:szCs w:val="22"/>
        </w:rPr>
        <w:t>Muhaidat</w:t>
      </w:r>
      <w:proofErr w:type="spellEnd"/>
      <w:r>
        <w:rPr>
          <w:sz w:val="22"/>
          <w:szCs w:val="22"/>
        </w:rPr>
        <w:t xml:space="preserve">, F., </w:t>
      </w:r>
      <w:proofErr w:type="spellStart"/>
      <w:r>
        <w:rPr>
          <w:sz w:val="22"/>
          <w:szCs w:val="22"/>
        </w:rPr>
        <w:t>Alsharoa</w:t>
      </w:r>
      <w:proofErr w:type="spellEnd"/>
      <w:r>
        <w:rPr>
          <w:sz w:val="22"/>
          <w:szCs w:val="22"/>
        </w:rPr>
        <w:t xml:space="preserve">, A., </w:t>
      </w:r>
      <w:proofErr w:type="spellStart"/>
      <w:r>
        <w:rPr>
          <w:sz w:val="22"/>
          <w:szCs w:val="22"/>
        </w:rPr>
        <w:t>Alshlowi</w:t>
      </w:r>
      <w:proofErr w:type="spellEnd"/>
      <w:r>
        <w:rPr>
          <w:sz w:val="22"/>
          <w:szCs w:val="22"/>
        </w:rPr>
        <w:t xml:space="preserve">, A., Torki, M., &amp; </w:t>
      </w:r>
      <w:proofErr w:type="spellStart"/>
      <w:r>
        <w:rPr>
          <w:sz w:val="22"/>
          <w:szCs w:val="22"/>
        </w:rPr>
        <w:t>Abdelmoneim</w:t>
      </w:r>
      <w:proofErr w:type="spellEnd"/>
      <w:r>
        <w:rPr>
          <w:sz w:val="22"/>
          <w:szCs w:val="22"/>
        </w:rPr>
        <w:t xml:space="preserve">, M. (2023). The Effectiveness of Augmented Reality in Improving Students Motivation: An Experimental </w:t>
      </w:r>
      <w:r>
        <w:rPr>
          <w:sz w:val="22"/>
          <w:szCs w:val="22"/>
        </w:rPr>
        <w:t xml:space="preserve">Study. </w:t>
      </w:r>
      <w:r>
        <w:rPr>
          <w:i/>
          <w:iCs/>
          <w:sz w:val="22"/>
          <w:szCs w:val="22"/>
        </w:rPr>
        <w:t>Athens Journal of Education</w:t>
      </w:r>
      <w:r>
        <w:rPr>
          <w:sz w:val="22"/>
          <w:szCs w:val="22"/>
        </w:rPr>
        <w:t xml:space="preserve">, 10(2), 365–380. </w:t>
      </w:r>
      <w:hyperlink r:id="rId26">
        <w:r>
          <w:rPr>
            <w:color w:val="0000FF"/>
            <w:sz w:val="22"/>
            <w:szCs w:val="22"/>
            <w:u w:val="single"/>
          </w:rPr>
          <w:t>https://doi.org/10.30958/aje.10-2-10</w:t>
        </w:r>
      </w:hyperlink>
    </w:p>
    <w:p w14:paraId="54C532C1" w14:textId="77777777" w:rsidR="00915609" w:rsidRDefault="00361C24">
      <w:pPr>
        <w:spacing w:after="0"/>
        <w:ind w:left="567" w:hanging="567"/>
        <w:jc w:val="both"/>
        <w:rPr>
          <w:sz w:val="22"/>
          <w:szCs w:val="22"/>
        </w:rPr>
      </w:pPr>
      <w:r>
        <w:rPr>
          <w:sz w:val="22"/>
          <w:szCs w:val="22"/>
        </w:rPr>
        <w:t xml:space="preserve">Johnson, J. D., Smail, L., Corey, D., &amp; Jarrah, A. M. (2022). Using </w:t>
      </w:r>
      <w:proofErr w:type="spellStart"/>
      <w:r>
        <w:rPr>
          <w:sz w:val="22"/>
          <w:szCs w:val="22"/>
        </w:rPr>
        <w:t>bayesian</w:t>
      </w:r>
      <w:proofErr w:type="spellEnd"/>
      <w:r>
        <w:rPr>
          <w:sz w:val="22"/>
          <w:szCs w:val="22"/>
        </w:rPr>
        <w:t xml:space="preserve"> networks to provide educational im</w:t>
      </w:r>
      <w:r>
        <w:rPr>
          <w:sz w:val="22"/>
          <w:szCs w:val="22"/>
        </w:rPr>
        <w:t xml:space="preserve">plications: mobile learning and ethnomathematics to improve sustainability in mathematics education. </w:t>
      </w:r>
      <w:r>
        <w:rPr>
          <w:i/>
          <w:iCs/>
          <w:sz w:val="22"/>
          <w:szCs w:val="22"/>
        </w:rPr>
        <w:t>Sustainability (Switzerland),</w:t>
      </w:r>
      <w:r>
        <w:rPr>
          <w:sz w:val="22"/>
          <w:szCs w:val="22"/>
        </w:rPr>
        <w:t xml:space="preserve"> 14(10). </w:t>
      </w:r>
      <w:hyperlink r:id="rId27">
        <w:r>
          <w:rPr>
            <w:color w:val="0000FF"/>
            <w:sz w:val="22"/>
            <w:szCs w:val="22"/>
            <w:u w:val="single"/>
          </w:rPr>
          <w:t>https://doi.org/10.3390/su14105897</w:t>
        </w:r>
      </w:hyperlink>
    </w:p>
    <w:p w14:paraId="2C39066F" w14:textId="77777777" w:rsidR="00915609" w:rsidRDefault="00361C24">
      <w:pPr>
        <w:spacing w:after="0"/>
        <w:ind w:left="567" w:hanging="567"/>
        <w:jc w:val="both"/>
        <w:rPr>
          <w:sz w:val="22"/>
          <w:szCs w:val="22"/>
        </w:rPr>
      </w:pPr>
      <w:r>
        <w:rPr>
          <w:sz w:val="22"/>
          <w:szCs w:val="22"/>
        </w:rPr>
        <w:t>Jonas, N. (2018). Numeracy p</w:t>
      </w:r>
      <w:r>
        <w:rPr>
          <w:sz w:val="22"/>
          <w:szCs w:val="22"/>
        </w:rPr>
        <w:t xml:space="preserve">ractices and numeracy skills among adults. OECD </w:t>
      </w:r>
      <w:r>
        <w:rPr>
          <w:i/>
          <w:iCs/>
          <w:sz w:val="22"/>
          <w:szCs w:val="22"/>
        </w:rPr>
        <w:t>Education Working Papers</w:t>
      </w:r>
      <w:r>
        <w:rPr>
          <w:sz w:val="22"/>
          <w:szCs w:val="22"/>
        </w:rPr>
        <w:t xml:space="preserve">, No. 177, OECD Publishing, Paris. </w:t>
      </w:r>
      <w:hyperlink r:id="rId28">
        <w:r>
          <w:rPr>
            <w:color w:val="0000FF"/>
            <w:sz w:val="22"/>
            <w:szCs w:val="22"/>
            <w:u w:val="single"/>
          </w:rPr>
          <w:t>http://dx.doi.org/10.1787/8f19fc9f-en</w:t>
        </w:r>
      </w:hyperlink>
    </w:p>
    <w:p w14:paraId="22B88E84" w14:textId="77777777" w:rsidR="00915609" w:rsidRDefault="00361C24">
      <w:pPr>
        <w:spacing w:after="0"/>
        <w:ind w:left="567" w:hanging="567"/>
        <w:jc w:val="both"/>
        <w:rPr>
          <w:sz w:val="22"/>
          <w:szCs w:val="22"/>
        </w:rPr>
      </w:pPr>
      <w:r>
        <w:rPr>
          <w:sz w:val="22"/>
          <w:szCs w:val="22"/>
        </w:rPr>
        <w:t xml:space="preserve">Kurnia, A. (2019). </w:t>
      </w:r>
      <w:proofErr w:type="spellStart"/>
      <w:r>
        <w:rPr>
          <w:sz w:val="22"/>
          <w:szCs w:val="22"/>
        </w:rPr>
        <w:t>Analisis</w:t>
      </w:r>
      <w:proofErr w:type="spellEnd"/>
      <w:r>
        <w:rPr>
          <w:sz w:val="22"/>
          <w:szCs w:val="22"/>
        </w:rPr>
        <w:t xml:space="preserve"> </w:t>
      </w:r>
      <w:proofErr w:type="spellStart"/>
      <w:r>
        <w:rPr>
          <w:sz w:val="22"/>
          <w:szCs w:val="22"/>
        </w:rPr>
        <w:t>tes</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berpikir</w:t>
      </w:r>
      <w:proofErr w:type="spellEnd"/>
      <w:r>
        <w:rPr>
          <w:sz w:val="22"/>
          <w:szCs w:val="22"/>
        </w:rPr>
        <w:t xml:space="preserve"> </w:t>
      </w:r>
      <w:proofErr w:type="spellStart"/>
      <w:r>
        <w:rPr>
          <w:sz w:val="22"/>
          <w:szCs w:val="22"/>
        </w:rPr>
        <w:t>kri</w:t>
      </w:r>
      <w:r>
        <w:rPr>
          <w:sz w:val="22"/>
          <w:szCs w:val="22"/>
        </w:rPr>
        <w:t>tis</w:t>
      </w:r>
      <w:proofErr w:type="spellEnd"/>
      <w:r>
        <w:rPr>
          <w:sz w:val="22"/>
          <w:szCs w:val="22"/>
        </w:rPr>
        <w:t xml:space="preserve"> </w:t>
      </w:r>
      <w:proofErr w:type="spellStart"/>
      <w:r>
        <w:rPr>
          <w:sz w:val="22"/>
          <w:szCs w:val="22"/>
        </w:rPr>
        <w:t>matematika</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menggunakan</w:t>
      </w:r>
      <w:proofErr w:type="spellEnd"/>
      <w:r>
        <w:rPr>
          <w:sz w:val="22"/>
          <w:szCs w:val="22"/>
        </w:rPr>
        <w:t xml:space="preserve"> generalized partial credit model (GPCM). </w:t>
      </w:r>
      <w:r>
        <w:rPr>
          <w:i/>
          <w:iCs/>
          <w:sz w:val="22"/>
          <w:szCs w:val="22"/>
        </w:rPr>
        <w:t xml:space="preserve">In PEDIAMATIKA: Journal of Mathematical Science and Mathematics Education </w:t>
      </w:r>
      <w:r>
        <w:rPr>
          <w:sz w:val="22"/>
          <w:szCs w:val="22"/>
        </w:rPr>
        <w:t xml:space="preserve">(Vol. 01, Issue 02). </w:t>
      </w:r>
      <w:hyperlink r:id="rId29">
        <w:r>
          <w:rPr>
            <w:color w:val="0000FF"/>
            <w:sz w:val="22"/>
            <w:szCs w:val="22"/>
            <w:u w:val="single"/>
          </w:rPr>
          <w:t>http://syekhn</w:t>
        </w:r>
        <w:r>
          <w:rPr>
            <w:color w:val="0000FF"/>
            <w:sz w:val="22"/>
            <w:szCs w:val="22"/>
            <w:u w:val="single"/>
          </w:rPr>
          <w:t>urjati.ac.id/jurnal/index.php/pmat</w:t>
        </w:r>
      </w:hyperlink>
    </w:p>
    <w:p w14:paraId="1D402EA7" w14:textId="77777777" w:rsidR="00915609" w:rsidRDefault="00361C24">
      <w:pPr>
        <w:spacing w:after="0"/>
        <w:ind w:left="567" w:hanging="567"/>
        <w:jc w:val="both"/>
        <w:rPr>
          <w:sz w:val="22"/>
          <w:szCs w:val="22"/>
        </w:rPr>
      </w:pPr>
      <w:proofErr w:type="spellStart"/>
      <w:r>
        <w:rPr>
          <w:sz w:val="22"/>
          <w:szCs w:val="22"/>
        </w:rPr>
        <w:t>Limbago</w:t>
      </w:r>
      <w:proofErr w:type="spellEnd"/>
      <w:r>
        <w:rPr>
          <w:sz w:val="22"/>
          <w:szCs w:val="22"/>
        </w:rPr>
        <w:t xml:space="preserve">-Bastida, R. A. C., &amp; Bastida, G. L. (2022). Effectiveness of strategic intervention material on the learning outcomes of students. </w:t>
      </w:r>
      <w:r>
        <w:rPr>
          <w:i/>
          <w:iCs/>
          <w:sz w:val="22"/>
          <w:szCs w:val="22"/>
        </w:rPr>
        <w:t>European Journal of Social Sciences Studies</w:t>
      </w:r>
      <w:r>
        <w:rPr>
          <w:sz w:val="22"/>
          <w:szCs w:val="22"/>
        </w:rPr>
        <w:t xml:space="preserve">, 7(4). </w:t>
      </w:r>
      <w:hyperlink r:id="rId30">
        <w:r>
          <w:rPr>
            <w:color w:val="0000FF"/>
            <w:sz w:val="22"/>
            <w:szCs w:val="22"/>
            <w:u w:val="single"/>
          </w:rPr>
          <w:t>https:</w:t>
        </w:r>
        <w:r>
          <w:rPr>
            <w:color w:val="0000FF"/>
            <w:sz w:val="22"/>
            <w:szCs w:val="22"/>
            <w:u w:val="single"/>
          </w:rPr>
          <w:t>//doi.org/10.46827/ejsss.v7i4.1249</w:t>
        </w:r>
      </w:hyperlink>
    </w:p>
    <w:p w14:paraId="424A8832" w14:textId="77777777" w:rsidR="00915609" w:rsidRDefault="00361C24">
      <w:pPr>
        <w:spacing w:after="0"/>
        <w:ind w:left="567" w:hanging="567"/>
        <w:jc w:val="both"/>
        <w:rPr>
          <w:sz w:val="22"/>
          <w:szCs w:val="22"/>
        </w:rPr>
      </w:pPr>
      <w:r>
        <w:rPr>
          <w:sz w:val="22"/>
          <w:szCs w:val="22"/>
        </w:rPr>
        <w:t xml:space="preserve">Lovorn, M., &amp; Summers, R. (2013). An international discourse on culture in the classroom: teachers from four countries share their perspectives. </w:t>
      </w:r>
      <w:r>
        <w:rPr>
          <w:i/>
          <w:iCs/>
          <w:sz w:val="22"/>
          <w:szCs w:val="22"/>
        </w:rPr>
        <w:t>International Journal of Education</w:t>
      </w:r>
      <w:r>
        <w:rPr>
          <w:sz w:val="22"/>
          <w:szCs w:val="22"/>
        </w:rPr>
        <w:t xml:space="preserve">, 5(2). </w:t>
      </w:r>
      <w:hyperlink r:id="rId31">
        <w:r>
          <w:rPr>
            <w:color w:val="0000FF"/>
            <w:sz w:val="22"/>
            <w:szCs w:val="22"/>
            <w:u w:val="single"/>
          </w:rPr>
          <w:t>https://doi.org/10.5296/ije.v5i2.3097</w:t>
        </w:r>
      </w:hyperlink>
    </w:p>
    <w:p w14:paraId="4057C39A" w14:textId="77777777" w:rsidR="00915609" w:rsidRDefault="00361C24">
      <w:pPr>
        <w:spacing w:after="0"/>
        <w:ind w:left="567" w:hanging="567"/>
        <w:jc w:val="both"/>
        <w:rPr>
          <w:sz w:val="22"/>
          <w:szCs w:val="22"/>
        </w:rPr>
      </w:pPr>
      <w:r>
        <w:rPr>
          <w:sz w:val="22"/>
          <w:szCs w:val="22"/>
        </w:rPr>
        <w:t xml:space="preserve">Lubis, F. F., Nurdin, E., &amp; </w:t>
      </w:r>
      <w:proofErr w:type="spellStart"/>
      <w:r>
        <w:rPr>
          <w:sz w:val="22"/>
          <w:szCs w:val="22"/>
        </w:rPr>
        <w:t>Fitri</w:t>
      </w:r>
      <w:proofErr w:type="spellEnd"/>
      <w:r>
        <w:rPr>
          <w:sz w:val="22"/>
          <w:szCs w:val="22"/>
        </w:rPr>
        <w:t xml:space="preserve">, I. (2023). </w:t>
      </w:r>
      <w:proofErr w:type="spellStart"/>
      <w:r>
        <w:rPr>
          <w:sz w:val="22"/>
          <w:szCs w:val="22"/>
        </w:rPr>
        <w:t>Pembelajaran</w:t>
      </w:r>
      <w:proofErr w:type="spellEnd"/>
      <w:r>
        <w:rPr>
          <w:sz w:val="22"/>
          <w:szCs w:val="22"/>
        </w:rPr>
        <w:t xml:space="preserve"> Ethno-RME </w:t>
      </w:r>
      <w:proofErr w:type="spellStart"/>
      <w:r>
        <w:rPr>
          <w:sz w:val="22"/>
          <w:szCs w:val="22"/>
        </w:rPr>
        <w:t>Meningkatkan</w:t>
      </w:r>
      <w:proofErr w:type="spellEnd"/>
      <w:r>
        <w:rPr>
          <w:sz w:val="22"/>
          <w:szCs w:val="22"/>
        </w:rPr>
        <w:t xml:space="preserve"> </w:t>
      </w:r>
      <w:proofErr w:type="spellStart"/>
      <w:r>
        <w:rPr>
          <w:sz w:val="22"/>
          <w:szCs w:val="22"/>
        </w:rPr>
        <w:t>Keterampilan</w:t>
      </w:r>
      <w:proofErr w:type="spellEnd"/>
      <w:r>
        <w:rPr>
          <w:sz w:val="22"/>
          <w:szCs w:val="22"/>
        </w:rPr>
        <w:t xml:space="preserve"> </w:t>
      </w:r>
      <w:proofErr w:type="spellStart"/>
      <w:r>
        <w:rPr>
          <w:sz w:val="22"/>
          <w:szCs w:val="22"/>
        </w:rPr>
        <w:t>Berpikir</w:t>
      </w:r>
      <w:proofErr w:type="spellEnd"/>
      <w:r>
        <w:rPr>
          <w:sz w:val="22"/>
          <w:szCs w:val="22"/>
        </w:rPr>
        <w:t xml:space="preserve"> </w:t>
      </w:r>
      <w:proofErr w:type="spellStart"/>
      <w:r>
        <w:rPr>
          <w:sz w:val="22"/>
          <w:szCs w:val="22"/>
        </w:rPr>
        <w:t>Kritis</w:t>
      </w:r>
      <w:proofErr w:type="spellEnd"/>
      <w:r>
        <w:rPr>
          <w:sz w:val="22"/>
          <w:szCs w:val="22"/>
        </w:rPr>
        <w:t xml:space="preserve"> </w:t>
      </w:r>
      <w:proofErr w:type="spellStart"/>
      <w:r>
        <w:rPr>
          <w:sz w:val="22"/>
          <w:szCs w:val="22"/>
        </w:rPr>
        <w:t>Matematis</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i/>
          <w:iCs/>
          <w:sz w:val="22"/>
          <w:szCs w:val="22"/>
        </w:rPr>
        <w:t>Juring</w:t>
      </w:r>
      <w:proofErr w:type="spellEnd"/>
      <w:r>
        <w:rPr>
          <w:i/>
          <w:iCs/>
          <w:sz w:val="22"/>
          <w:szCs w:val="22"/>
        </w:rPr>
        <w:t xml:space="preserve"> (Journal for Research in Mathematics Learning),</w:t>
      </w:r>
      <w:r>
        <w:rPr>
          <w:sz w:val="22"/>
          <w:szCs w:val="22"/>
        </w:rPr>
        <w:t xml:space="preserve"> 6(3), 277. </w:t>
      </w:r>
      <w:hyperlink r:id="rId32">
        <w:r>
          <w:rPr>
            <w:color w:val="0000FF"/>
            <w:sz w:val="22"/>
            <w:szCs w:val="22"/>
            <w:u w:val="single"/>
          </w:rPr>
          <w:t>https://doi.org/10.24014/juring.v6i3.25754</w:t>
        </w:r>
      </w:hyperlink>
    </w:p>
    <w:p w14:paraId="01F7B1D5" w14:textId="77777777" w:rsidR="00915609" w:rsidRDefault="00361C24">
      <w:pPr>
        <w:spacing w:after="0"/>
        <w:ind w:left="567" w:hanging="567"/>
        <w:jc w:val="both"/>
        <w:rPr>
          <w:sz w:val="22"/>
          <w:szCs w:val="22"/>
        </w:rPr>
      </w:pPr>
      <w:r>
        <w:rPr>
          <w:sz w:val="22"/>
          <w:szCs w:val="22"/>
        </w:rPr>
        <w:t xml:space="preserve">Moore, M. (2023). </w:t>
      </w:r>
      <w:proofErr w:type="spellStart"/>
      <w:r>
        <w:rPr>
          <w:sz w:val="22"/>
          <w:szCs w:val="22"/>
        </w:rPr>
        <w:t>Multicontextual</w:t>
      </w:r>
      <w:proofErr w:type="spellEnd"/>
      <w:r>
        <w:rPr>
          <w:sz w:val="22"/>
          <w:szCs w:val="22"/>
        </w:rPr>
        <w:t xml:space="preserve"> teaching and learning in postsecondary classrooms. </w:t>
      </w:r>
      <w:r>
        <w:rPr>
          <w:i/>
          <w:iCs/>
          <w:sz w:val="22"/>
          <w:szCs w:val="22"/>
        </w:rPr>
        <w:t>Collected Essays on Learning and Teaching</w:t>
      </w:r>
      <w:r>
        <w:rPr>
          <w:sz w:val="22"/>
          <w:szCs w:val="22"/>
        </w:rPr>
        <w:t xml:space="preserve">. </w:t>
      </w:r>
      <w:hyperlink r:id="rId33">
        <w:r>
          <w:rPr>
            <w:color w:val="0000FF"/>
            <w:sz w:val="22"/>
            <w:szCs w:val="22"/>
            <w:u w:val="single"/>
          </w:rPr>
          <w:t>https://celt.uwindsor.ca/index.php/CELT/article/vie</w:t>
        </w:r>
        <w:r>
          <w:rPr>
            <w:color w:val="0000FF"/>
            <w:sz w:val="22"/>
            <w:szCs w:val="22"/>
            <w:u w:val="single"/>
          </w:rPr>
          <w:t>w/7141</w:t>
        </w:r>
      </w:hyperlink>
    </w:p>
    <w:p w14:paraId="166DE56A" w14:textId="77777777" w:rsidR="00915609" w:rsidRDefault="00361C24">
      <w:pPr>
        <w:spacing w:after="0"/>
        <w:ind w:left="567" w:hanging="567"/>
        <w:jc w:val="both"/>
        <w:rPr>
          <w:sz w:val="22"/>
          <w:szCs w:val="22"/>
        </w:rPr>
      </w:pPr>
      <w:r>
        <w:rPr>
          <w:sz w:val="22"/>
          <w:szCs w:val="22"/>
        </w:rPr>
        <w:t xml:space="preserve">Mukherjee, H., &amp; </w:t>
      </w:r>
      <w:proofErr w:type="spellStart"/>
      <w:r>
        <w:rPr>
          <w:sz w:val="22"/>
          <w:szCs w:val="22"/>
        </w:rPr>
        <w:t>Bhonge</w:t>
      </w:r>
      <w:proofErr w:type="spellEnd"/>
      <w:r>
        <w:rPr>
          <w:sz w:val="22"/>
          <w:szCs w:val="22"/>
        </w:rPr>
        <w:t>, P. (2025). Assessing Skew Normality in Marks Distribution, a Comparative Analysis of Shapiro Wilk Tests. </w:t>
      </w:r>
      <w:proofErr w:type="spellStart"/>
      <w:r>
        <w:rPr>
          <w:i/>
          <w:iCs/>
          <w:sz w:val="22"/>
          <w:szCs w:val="22"/>
        </w:rPr>
        <w:t>arXiv</w:t>
      </w:r>
      <w:proofErr w:type="spellEnd"/>
      <w:r>
        <w:rPr>
          <w:i/>
          <w:iCs/>
          <w:sz w:val="22"/>
          <w:szCs w:val="22"/>
        </w:rPr>
        <w:t xml:space="preserve"> preprint arXiv:2501.14845</w:t>
      </w:r>
      <w:r>
        <w:rPr>
          <w:sz w:val="22"/>
          <w:szCs w:val="22"/>
        </w:rPr>
        <w:t xml:space="preserve">. </w:t>
      </w:r>
      <w:hyperlink r:id="rId34">
        <w:r>
          <w:rPr>
            <w:color w:val="0000FF"/>
            <w:sz w:val="22"/>
            <w:szCs w:val="22"/>
            <w:u w:val="single"/>
          </w:rPr>
          <w:t>http://arxiv.org/abs/2501.14845</w:t>
        </w:r>
      </w:hyperlink>
    </w:p>
    <w:p w14:paraId="1106CD5C" w14:textId="77777777" w:rsidR="00915609" w:rsidRDefault="00361C24">
      <w:pPr>
        <w:spacing w:after="0"/>
        <w:ind w:left="567" w:hanging="567"/>
        <w:jc w:val="both"/>
        <w:rPr>
          <w:sz w:val="22"/>
          <w:szCs w:val="22"/>
        </w:rPr>
      </w:pPr>
      <w:proofErr w:type="spellStart"/>
      <w:r>
        <w:rPr>
          <w:sz w:val="22"/>
          <w:szCs w:val="22"/>
        </w:rPr>
        <w:t>Nag</w:t>
      </w:r>
      <w:r>
        <w:rPr>
          <w:sz w:val="22"/>
          <w:szCs w:val="22"/>
        </w:rPr>
        <w:t>elkop</w:t>
      </w:r>
      <w:proofErr w:type="spellEnd"/>
      <w:r>
        <w:rPr>
          <w:sz w:val="22"/>
          <w:szCs w:val="22"/>
        </w:rPr>
        <w:t xml:space="preserve">, N. D., Rosselló, M., Aranguren, I., Lado, V., Ron, M., &amp; Toglia, J. (2021). Using </w:t>
      </w:r>
      <w:proofErr w:type="spellStart"/>
      <w:r>
        <w:rPr>
          <w:sz w:val="22"/>
          <w:szCs w:val="22"/>
        </w:rPr>
        <w:t>multicontext</w:t>
      </w:r>
      <w:proofErr w:type="spellEnd"/>
      <w:r>
        <w:rPr>
          <w:sz w:val="22"/>
          <w:szCs w:val="22"/>
        </w:rPr>
        <w:t xml:space="preserve"> approach to improve instrumental activities of daily living performance after a stroke: A case report. </w:t>
      </w:r>
      <w:r>
        <w:rPr>
          <w:i/>
          <w:iCs/>
          <w:sz w:val="22"/>
          <w:szCs w:val="22"/>
        </w:rPr>
        <w:t>Occupational therapy in health care</w:t>
      </w:r>
      <w:r>
        <w:rPr>
          <w:sz w:val="22"/>
          <w:szCs w:val="22"/>
        </w:rPr>
        <w:t>, </w:t>
      </w:r>
      <w:r>
        <w:rPr>
          <w:i/>
          <w:iCs/>
          <w:sz w:val="22"/>
          <w:szCs w:val="22"/>
        </w:rPr>
        <w:t>35</w:t>
      </w:r>
      <w:r>
        <w:rPr>
          <w:sz w:val="22"/>
          <w:szCs w:val="22"/>
        </w:rPr>
        <w:t>(3), 249-267</w:t>
      </w:r>
      <w:r>
        <w:rPr>
          <w:sz w:val="22"/>
          <w:szCs w:val="22"/>
        </w:rPr>
        <w:t xml:space="preserve">. </w:t>
      </w:r>
      <w:hyperlink r:id="rId35">
        <w:r>
          <w:rPr>
            <w:color w:val="0000FF"/>
            <w:sz w:val="22"/>
            <w:szCs w:val="22"/>
            <w:u w:val="single"/>
          </w:rPr>
          <w:t>https://doi.org/10.1080/07380577.2021.1919954</w:t>
        </w:r>
      </w:hyperlink>
    </w:p>
    <w:p w14:paraId="4D00EF3B" w14:textId="77777777" w:rsidR="00915609" w:rsidRDefault="00361C24">
      <w:pPr>
        <w:spacing w:after="0"/>
        <w:ind w:left="567" w:hanging="567"/>
        <w:jc w:val="both"/>
        <w:rPr>
          <w:sz w:val="22"/>
          <w:szCs w:val="22"/>
        </w:rPr>
      </w:pPr>
      <w:proofErr w:type="spellStart"/>
      <w:r>
        <w:rPr>
          <w:sz w:val="22"/>
          <w:szCs w:val="22"/>
        </w:rPr>
        <w:t>Novikasari</w:t>
      </w:r>
      <w:proofErr w:type="spellEnd"/>
      <w:r>
        <w:rPr>
          <w:sz w:val="22"/>
          <w:szCs w:val="22"/>
        </w:rPr>
        <w:t xml:space="preserve">, I. (2020). Pre-service teacher’s mathematical knowledge for teaching in problem-based learning. </w:t>
      </w:r>
      <w:proofErr w:type="spellStart"/>
      <w:r>
        <w:rPr>
          <w:i/>
          <w:iCs/>
          <w:sz w:val="22"/>
          <w:szCs w:val="22"/>
        </w:rPr>
        <w:t>JRAMathEdu</w:t>
      </w:r>
      <w:proofErr w:type="spellEnd"/>
      <w:r>
        <w:rPr>
          <w:i/>
          <w:iCs/>
          <w:sz w:val="22"/>
          <w:szCs w:val="22"/>
        </w:rPr>
        <w:t xml:space="preserve"> (Journal of Research and</w:t>
      </w:r>
      <w:r>
        <w:rPr>
          <w:i/>
          <w:iCs/>
          <w:sz w:val="22"/>
          <w:szCs w:val="22"/>
        </w:rPr>
        <w:t xml:space="preserve"> Advances in Mathematics Education),</w:t>
      </w:r>
      <w:r>
        <w:rPr>
          <w:sz w:val="22"/>
          <w:szCs w:val="22"/>
        </w:rPr>
        <w:t xml:space="preserve"> 5(2), 160–174. </w:t>
      </w:r>
      <w:hyperlink r:id="rId36">
        <w:r>
          <w:rPr>
            <w:color w:val="0000FF"/>
            <w:sz w:val="22"/>
            <w:szCs w:val="22"/>
            <w:u w:val="single"/>
          </w:rPr>
          <w:t>https://doi.org/10.23917/jramathedu.v5i2.10556</w:t>
        </w:r>
      </w:hyperlink>
    </w:p>
    <w:p w14:paraId="37E675BD" w14:textId="77777777" w:rsidR="00915609" w:rsidRDefault="00361C24">
      <w:pPr>
        <w:spacing w:after="0"/>
        <w:ind w:left="567" w:hanging="567"/>
        <w:jc w:val="both"/>
        <w:rPr>
          <w:sz w:val="22"/>
          <w:szCs w:val="22"/>
        </w:rPr>
      </w:pPr>
      <w:proofErr w:type="spellStart"/>
      <w:r>
        <w:rPr>
          <w:sz w:val="22"/>
          <w:szCs w:val="22"/>
        </w:rPr>
        <w:t>Rahmayanti</w:t>
      </w:r>
      <w:proofErr w:type="spellEnd"/>
      <w:r>
        <w:rPr>
          <w:sz w:val="22"/>
          <w:szCs w:val="22"/>
        </w:rPr>
        <w:t xml:space="preserve">, S., </w:t>
      </w:r>
      <w:proofErr w:type="spellStart"/>
      <w:r>
        <w:rPr>
          <w:sz w:val="22"/>
          <w:szCs w:val="22"/>
        </w:rPr>
        <w:t>Subagiharti</w:t>
      </w:r>
      <w:proofErr w:type="spellEnd"/>
      <w:r>
        <w:rPr>
          <w:sz w:val="22"/>
          <w:szCs w:val="22"/>
        </w:rPr>
        <w:t xml:space="preserve">, H., &amp; </w:t>
      </w:r>
      <w:proofErr w:type="spellStart"/>
      <w:r>
        <w:rPr>
          <w:sz w:val="22"/>
          <w:szCs w:val="22"/>
        </w:rPr>
        <w:t>Herawati</w:t>
      </w:r>
      <w:proofErr w:type="spellEnd"/>
      <w:r>
        <w:rPr>
          <w:sz w:val="22"/>
          <w:szCs w:val="22"/>
        </w:rPr>
        <w:t>, T. (2020). Effectiveness of Learning Mathemati</w:t>
      </w:r>
      <w:r>
        <w:rPr>
          <w:sz w:val="22"/>
          <w:szCs w:val="22"/>
        </w:rPr>
        <w:t>cs with Contextual Approaches. </w:t>
      </w:r>
      <w:r>
        <w:rPr>
          <w:i/>
          <w:iCs/>
          <w:sz w:val="22"/>
          <w:szCs w:val="22"/>
        </w:rPr>
        <w:t xml:space="preserve">International Journal </w:t>
      </w:r>
      <w:proofErr w:type="gramStart"/>
      <w:r>
        <w:rPr>
          <w:i/>
          <w:iCs/>
          <w:sz w:val="22"/>
          <w:szCs w:val="22"/>
        </w:rPr>
        <w:t>Of</w:t>
      </w:r>
      <w:proofErr w:type="gramEnd"/>
      <w:r>
        <w:rPr>
          <w:i/>
          <w:iCs/>
          <w:sz w:val="22"/>
          <w:szCs w:val="22"/>
        </w:rPr>
        <w:t xml:space="preserve"> Multi Science</w:t>
      </w:r>
      <w:r>
        <w:rPr>
          <w:sz w:val="22"/>
          <w:szCs w:val="22"/>
        </w:rPr>
        <w:t>, </w:t>
      </w:r>
      <w:r>
        <w:rPr>
          <w:i/>
          <w:iCs/>
          <w:sz w:val="22"/>
          <w:szCs w:val="22"/>
        </w:rPr>
        <w:t>1</w:t>
      </w:r>
      <w:r>
        <w:rPr>
          <w:sz w:val="22"/>
          <w:szCs w:val="22"/>
        </w:rPr>
        <w:t xml:space="preserve">(05), 1-5. </w:t>
      </w:r>
      <w:hyperlink r:id="rId37">
        <w:r>
          <w:rPr>
            <w:color w:val="0000FF"/>
            <w:sz w:val="22"/>
            <w:szCs w:val="22"/>
            <w:u w:val="single"/>
          </w:rPr>
          <w:t>https://multisciencejournal.com/index.php/ijm/article/view/31</w:t>
        </w:r>
      </w:hyperlink>
    </w:p>
    <w:p w14:paraId="1F3F9C31" w14:textId="77777777" w:rsidR="00915609" w:rsidRDefault="00361C24">
      <w:pPr>
        <w:spacing w:after="0"/>
        <w:ind w:left="567" w:hanging="567"/>
        <w:jc w:val="both"/>
        <w:rPr>
          <w:sz w:val="22"/>
          <w:szCs w:val="22"/>
        </w:rPr>
      </w:pPr>
      <w:proofErr w:type="spellStart"/>
      <w:r>
        <w:rPr>
          <w:sz w:val="22"/>
          <w:szCs w:val="22"/>
        </w:rPr>
        <w:t>Palinussa</w:t>
      </w:r>
      <w:proofErr w:type="spellEnd"/>
      <w:r>
        <w:rPr>
          <w:sz w:val="22"/>
          <w:szCs w:val="22"/>
        </w:rPr>
        <w:t xml:space="preserve">, A. L., </w:t>
      </w:r>
      <w:proofErr w:type="spellStart"/>
      <w:r>
        <w:rPr>
          <w:sz w:val="22"/>
          <w:szCs w:val="22"/>
        </w:rPr>
        <w:t>Molle</w:t>
      </w:r>
      <w:proofErr w:type="spellEnd"/>
      <w:r>
        <w:rPr>
          <w:sz w:val="22"/>
          <w:szCs w:val="22"/>
        </w:rPr>
        <w:t>, J. S.</w:t>
      </w:r>
      <w:r>
        <w:rPr>
          <w:sz w:val="22"/>
          <w:szCs w:val="22"/>
        </w:rPr>
        <w:t xml:space="preserve">, &amp; </w:t>
      </w:r>
      <w:proofErr w:type="spellStart"/>
      <w:r>
        <w:rPr>
          <w:sz w:val="22"/>
          <w:szCs w:val="22"/>
        </w:rPr>
        <w:t>Gaspersz</w:t>
      </w:r>
      <w:proofErr w:type="spellEnd"/>
      <w:r>
        <w:rPr>
          <w:sz w:val="22"/>
          <w:szCs w:val="22"/>
        </w:rPr>
        <w:t xml:space="preserve">, M. (2021). Realistic mathematics education: Mathematical reasoning and communication skills in rural contexts. </w:t>
      </w:r>
      <w:r>
        <w:rPr>
          <w:i/>
          <w:iCs/>
          <w:sz w:val="22"/>
          <w:szCs w:val="22"/>
        </w:rPr>
        <w:t>International Journal of Evaluation and Research in Education,</w:t>
      </w:r>
      <w:r>
        <w:rPr>
          <w:sz w:val="22"/>
          <w:szCs w:val="22"/>
        </w:rPr>
        <w:t xml:space="preserve"> 10(2), 522–534. </w:t>
      </w:r>
      <w:hyperlink r:id="rId38">
        <w:r>
          <w:rPr>
            <w:color w:val="0000FF"/>
            <w:sz w:val="22"/>
            <w:szCs w:val="22"/>
            <w:u w:val="single"/>
          </w:rPr>
          <w:t>https://doi.org/10.11591/ijere.v10i2.20640</w:t>
        </w:r>
      </w:hyperlink>
    </w:p>
    <w:p w14:paraId="6657D70B" w14:textId="77777777" w:rsidR="00915609" w:rsidRDefault="00361C24">
      <w:pPr>
        <w:spacing w:after="0"/>
        <w:ind w:left="567" w:hanging="567"/>
        <w:jc w:val="both"/>
        <w:rPr>
          <w:sz w:val="22"/>
          <w:szCs w:val="22"/>
        </w:rPr>
      </w:pPr>
      <w:proofErr w:type="spellStart"/>
      <w:r>
        <w:rPr>
          <w:sz w:val="22"/>
          <w:szCs w:val="22"/>
        </w:rPr>
        <w:t>Prahmana</w:t>
      </w:r>
      <w:proofErr w:type="spellEnd"/>
      <w:r>
        <w:rPr>
          <w:sz w:val="22"/>
          <w:szCs w:val="22"/>
        </w:rPr>
        <w:t xml:space="preserve">, R. C. I. (2022). Ethno-Realistic Mathematics Education: The promising learning approach in the city of culture. </w:t>
      </w:r>
      <w:r>
        <w:rPr>
          <w:i/>
          <w:iCs/>
          <w:sz w:val="22"/>
          <w:szCs w:val="22"/>
        </w:rPr>
        <w:t>SN Social Sciences</w:t>
      </w:r>
      <w:r>
        <w:rPr>
          <w:sz w:val="22"/>
          <w:szCs w:val="22"/>
        </w:rPr>
        <w:t>, 2(12), 257.</w:t>
      </w:r>
      <w:r>
        <w:rPr>
          <w:sz w:val="22"/>
          <w:szCs w:val="22"/>
        </w:rPr>
        <w:t xml:space="preserve"> </w:t>
      </w:r>
      <w:hyperlink r:id="rId39">
        <w:r>
          <w:rPr>
            <w:color w:val="0000FF"/>
            <w:sz w:val="22"/>
            <w:szCs w:val="22"/>
            <w:u w:val="single"/>
          </w:rPr>
          <w:t>https://doi.org/10.1007/s43545-022-00571-w</w:t>
        </w:r>
      </w:hyperlink>
    </w:p>
    <w:p w14:paraId="52E1B9A1" w14:textId="77777777" w:rsidR="00915609" w:rsidRDefault="00361C24">
      <w:pPr>
        <w:spacing w:after="0"/>
        <w:ind w:left="567" w:hanging="567"/>
        <w:jc w:val="both"/>
        <w:rPr>
          <w:sz w:val="22"/>
          <w:szCs w:val="22"/>
        </w:rPr>
      </w:pPr>
      <w:proofErr w:type="spellStart"/>
      <w:r>
        <w:rPr>
          <w:sz w:val="22"/>
          <w:szCs w:val="22"/>
        </w:rPr>
        <w:lastRenderedPageBreak/>
        <w:t>Priantari</w:t>
      </w:r>
      <w:proofErr w:type="spellEnd"/>
      <w:r>
        <w:rPr>
          <w:sz w:val="22"/>
          <w:szCs w:val="22"/>
        </w:rPr>
        <w:t xml:space="preserve">, I., </w:t>
      </w:r>
      <w:proofErr w:type="spellStart"/>
      <w:r>
        <w:rPr>
          <w:sz w:val="22"/>
          <w:szCs w:val="22"/>
        </w:rPr>
        <w:t>Prafitasari</w:t>
      </w:r>
      <w:proofErr w:type="spellEnd"/>
      <w:r>
        <w:rPr>
          <w:sz w:val="22"/>
          <w:szCs w:val="22"/>
        </w:rPr>
        <w:t xml:space="preserve">, A. N., </w:t>
      </w:r>
      <w:proofErr w:type="spellStart"/>
      <w:r>
        <w:rPr>
          <w:sz w:val="22"/>
          <w:szCs w:val="22"/>
        </w:rPr>
        <w:t>Kusumawardhani</w:t>
      </w:r>
      <w:proofErr w:type="spellEnd"/>
      <w:r>
        <w:rPr>
          <w:sz w:val="22"/>
          <w:szCs w:val="22"/>
        </w:rPr>
        <w:t xml:space="preserve">, D. R., &amp; </w:t>
      </w:r>
      <w:proofErr w:type="spellStart"/>
      <w:r>
        <w:rPr>
          <w:sz w:val="22"/>
          <w:szCs w:val="22"/>
        </w:rPr>
        <w:t>Susanti</w:t>
      </w:r>
      <w:proofErr w:type="spellEnd"/>
      <w:r>
        <w:rPr>
          <w:sz w:val="22"/>
          <w:szCs w:val="22"/>
        </w:rPr>
        <w:t>, S. (2020). Improving student critical thinking trough STEAM-</w:t>
      </w:r>
      <w:proofErr w:type="spellStart"/>
      <w:r>
        <w:rPr>
          <w:sz w:val="22"/>
          <w:szCs w:val="22"/>
        </w:rPr>
        <w:t>PjBL</w:t>
      </w:r>
      <w:proofErr w:type="spellEnd"/>
      <w:r>
        <w:rPr>
          <w:sz w:val="22"/>
          <w:szCs w:val="22"/>
        </w:rPr>
        <w:t xml:space="preserve"> learning. </w:t>
      </w:r>
      <w:proofErr w:type="spellStart"/>
      <w:r>
        <w:rPr>
          <w:i/>
          <w:iCs/>
          <w:sz w:val="22"/>
          <w:szCs w:val="22"/>
        </w:rPr>
        <w:t>Bioedu</w:t>
      </w:r>
      <w:r>
        <w:rPr>
          <w:i/>
          <w:iCs/>
          <w:sz w:val="22"/>
          <w:szCs w:val="22"/>
        </w:rPr>
        <w:t>cation</w:t>
      </w:r>
      <w:proofErr w:type="spellEnd"/>
      <w:r>
        <w:rPr>
          <w:i/>
          <w:iCs/>
          <w:sz w:val="22"/>
          <w:szCs w:val="22"/>
        </w:rPr>
        <w:t xml:space="preserve"> Journal</w:t>
      </w:r>
      <w:r>
        <w:rPr>
          <w:sz w:val="22"/>
          <w:szCs w:val="22"/>
        </w:rPr>
        <w:t xml:space="preserve">, 4(2), 95–103. </w:t>
      </w:r>
      <w:hyperlink r:id="rId40">
        <w:r>
          <w:rPr>
            <w:color w:val="0000FF"/>
            <w:sz w:val="22"/>
            <w:szCs w:val="22"/>
            <w:u w:val="single"/>
          </w:rPr>
          <w:t>https://doi.org/10.24036/bioedu.v4i2.283</w:t>
        </w:r>
      </w:hyperlink>
    </w:p>
    <w:p w14:paraId="389B4043" w14:textId="77777777" w:rsidR="00915609" w:rsidRDefault="00361C24">
      <w:pPr>
        <w:spacing w:after="0"/>
        <w:ind w:left="567" w:hanging="567"/>
        <w:jc w:val="both"/>
        <w:rPr>
          <w:sz w:val="22"/>
          <w:szCs w:val="22"/>
        </w:rPr>
      </w:pPr>
      <w:proofErr w:type="spellStart"/>
      <w:r>
        <w:rPr>
          <w:sz w:val="22"/>
          <w:szCs w:val="22"/>
        </w:rPr>
        <w:t>Priyambodo</w:t>
      </w:r>
      <w:proofErr w:type="spellEnd"/>
      <w:r>
        <w:rPr>
          <w:sz w:val="22"/>
          <w:szCs w:val="22"/>
        </w:rPr>
        <w:t xml:space="preserve">, P., Paidi, P., </w:t>
      </w:r>
      <w:proofErr w:type="spellStart"/>
      <w:r>
        <w:rPr>
          <w:sz w:val="22"/>
          <w:szCs w:val="22"/>
        </w:rPr>
        <w:t>Wilujeng</w:t>
      </w:r>
      <w:proofErr w:type="spellEnd"/>
      <w:r>
        <w:rPr>
          <w:sz w:val="22"/>
          <w:szCs w:val="22"/>
        </w:rPr>
        <w:t xml:space="preserve">, I., &amp; </w:t>
      </w:r>
      <w:proofErr w:type="spellStart"/>
      <w:r>
        <w:rPr>
          <w:sz w:val="22"/>
          <w:szCs w:val="22"/>
        </w:rPr>
        <w:t>Widowati</w:t>
      </w:r>
      <w:proofErr w:type="spellEnd"/>
      <w:r>
        <w:rPr>
          <w:sz w:val="22"/>
          <w:szCs w:val="22"/>
        </w:rPr>
        <w:t>, A. (2023). Ethno-ECLIPSE Learning Model: The Bridge between Collaboratio</w:t>
      </w:r>
      <w:r>
        <w:rPr>
          <w:sz w:val="22"/>
          <w:szCs w:val="22"/>
        </w:rPr>
        <w:t>n and Critical Thinking Skills. </w:t>
      </w:r>
      <w:r>
        <w:rPr>
          <w:i/>
          <w:iCs/>
          <w:sz w:val="22"/>
          <w:szCs w:val="22"/>
        </w:rPr>
        <w:t>Journal of Education and Learning (EduLearn)</w:t>
      </w:r>
      <w:r>
        <w:rPr>
          <w:sz w:val="22"/>
          <w:szCs w:val="22"/>
        </w:rPr>
        <w:t>, </w:t>
      </w:r>
      <w:r>
        <w:rPr>
          <w:i/>
          <w:iCs/>
          <w:sz w:val="22"/>
          <w:szCs w:val="22"/>
        </w:rPr>
        <w:t>17</w:t>
      </w:r>
      <w:r>
        <w:rPr>
          <w:sz w:val="22"/>
          <w:szCs w:val="22"/>
        </w:rPr>
        <w:t xml:space="preserve">(4), 575-588. </w:t>
      </w:r>
      <w:hyperlink r:id="rId41">
        <w:r>
          <w:rPr>
            <w:color w:val="0000FF"/>
            <w:sz w:val="22"/>
            <w:szCs w:val="22"/>
            <w:u w:val="single"/>
          </w:rPr>
          <w:t>https://doi.org/10.11591/edulearn.v17i4.20876</w:t>
        </w:r>
      </w:hyperlink>
    </w:p>
    <w:p w14:paraId="36FD1DF6" w14:textId="77777777" w:rsidR="00915609" w:rsidRDefault="00361C24">
      <w:pPr>
        <w:spacing w:after="0"/>
        <w:ind w:left="567" w:hanging="567"/>
        <w:jc w:val="both"/>
        <w:rPr>
          <w:sz w:val="22"/>
          <w:szCs w:val="22"/>
        </w:rPr>
      </w:pPr>
      <w:r>
        <w:rPr>
          <w:sz w:val="22"/>
          <w:szCs w:val="22"/>
        </w:rPr>
        <w:t xml:space="preserve">Qi, H., </w:t>
      </w:r>
      <w:proofErr w:type="spellStart"/>
      <w:r>
        <w:rPr>
          <w:sz w:val="22"/>
          <w:szCs w:val="22"/>
        </w:rPr>
        <w:t>Rizopoulos</w:t>
      </w:r>
      <w:proofErr w:type="spellEnd"/>
      <w:r>
        <w:rPr>
          <w:sz w:val="22"/>
          <w:szCs w:val="22"/>
        </w:rPr>
        <w:t xml:space="preserve">, D., &amp; van </w:t>
      </w:r>
      <w:proofErr w:type="spellStart"/>
      <w:r>
        <w:rPr>
          <w:sz w:val="22"/>
          <w:szCs w:val="22"/>
        </w:rPr>
        <w:t>Rosmalen</w:t>
      </w:r>
      <w:proofErr w:type="spellEnd"/>
      <w:r>
        <w:rPr>
          <w:sz w:val="22"/>
          <w:szCs w:val="22"/>
        </w:rPr>
        <w:t xml:space="preserve">, J. (2022). </w:t>
      </w:r>
      <w:r>
        <w:rPr>
          <w:sz w:val="22"/>
          <w:szCs w:val="22"/>
        </w:rPr>
        <w:t xml:space="preserve">Incorporating historical control information in ANCOVA models using the meta-analytic-predictive approach. </w:t>
      </w:r>
      <w:r>
        <w:rPr>
          <w:i/>
          <w:iCs/>
          <w:sz w:val="22"/>
          <w:szCs w:val="22"/>
        </w:rPr>
        <w:t>Research Synthesis Methods</w:t>
      </w:r>
      <w:r>
        <w:rPr>
          <w:sz w:val="22"/>
          <w:szCs w:val="22"/>
        </w:rPr>
        <w:t xml:space="preserve">, 13(6), 681–696. </w:t>
      </w:r>
      <w:hyperlink r:id="rId42">
        <w:r>
          <w:rPr>
            <w:color w:val="0000FF"/>
            <w:sz w:val="22"/>
            <w:szCs w:val="22"/>
            <w:u w:val="single"/>
          </w:rPr>
          <w:t>https://doi.org/10.1002/jrsm.1561</w:t>
        </w:r>
      </w:hyperlink>
    </w:p>
    <w:p w14:paraId="2773351E" w14:textId="77777777" w:rsidR="00915609" w:rsidRDefault="00361C24">
      <w:pPr>
        <w:spacing w:after="0"/>
        <w:ind w:left="567" w:hanging="567"/>
        <w:jc w:val="both"/>
        <w:rPr>
          <w:sz w:val="22"/>
          <w:szCs w:val="22"/>
        </w:rPr>
      </w:pPr>
      <w:r>
        <w:rPr>
          <w:sz w:val="22"/>
          <w:szCs w:val="22"/>
        </w:rPr>
        <w:t xml:space="preserve">Rabia, S. F., </w:t>
      </w:r>
      <w:proofErr w:type="spellStart"/>
      <w:r>
        <w:rPr>
          <w:sz w:val="22"/>
          <w:szCs w:val="22"/>
        </w:rPr>
        <w:t>Asru</w:t>
      </w:r>
      <w:r>
        <w:rPr>
          <w:sz w:val="22"/>
          <w:szCs w:val="22"/>
        </w:rPr>
        <w:t>l</w:t>
      </w:r>
      <w:proofErr w:type="spellEnd"/>
      <w:r>
        <w:rPr>
          <w:sz w:val="22"/>
          <w:szCs w:val="22"/>
        </w:rPr>
        <w:t xml:space="preserve">, A., Genç, N. E., &amp; Azizah, M. A. N. (2024). Instructional material design of project-based learning to train creative thinking skills in society 5.0 era. </w:t>
      </w:r>
      <w:proofErr w:type="spellStart"/>
      <w:r>
        <w:rPr>
          <w:i/>
          <w:iCs/>
          <w:sz w:val="22"/>
          <w:szCs w:val="22"/>
        </w:rPr>
        <w:t>Profesi</w:t>
      </w:r>
      <w:proofErr w:type="spellEnd"/>
      <w:r>
        <w:rPr>
          <w:i/>
          <w:iCs/>
          <w:sz w:val="22"/>
          <w:szCs w:val="22"/>
        </w:rPr>
        <w:t xml:space="preserve"> Pendidikan Dasar,</w:t>
      </w:r>
      <w:r>
        <w:rPr>
          <w:sz w:val="22"/>
          <w:szCs w:val="22"/>
        </w:rPr>
        <w:t xml:space="preserve"> 96–110. </w:t>
      </w:r>
      <w:hyperlink r:id="rId43">
        <w:r>
          <w:rPr>
            <w:color w:val="0000FF"/>
            <w:sz w:val="22"/>
            <w:szCs w:val="22"/>
            <w:u w:val="single"/>
          </w:rPr>
          <w:t>https:</w:t>
        </w:r>
        <w:r>
          <w:rPr>
            <w:color w:val="0000FF"/>
            <w:sz w:val="22"/>
            <w:szCs w:val="22"/>
            <w:u w:val="single"/>
          </w:rPr>
          <w:t>//doi.org/10.23917/ppd.v11i2.2846</w:t>
        </w:r>
      </w:hyperlink>
    </w:p>
    <w:p w14:paraId="09C99612" w14:textId="77777777" w:rsidR="00915609" w:rsidRDefault="00361C24">
      <w:pPr>
        <w:spacing w:after="0"/>
        <w:ind w:left="567" w:hanging="567"/>
        <w:jc w:val="both"/>
        <w:rPr>
          <w:sz w:val="22"/>
          <w:szCs w:val="22"/>
        </w:rPr>
      </w:pPr>
      <w:r>
        <w:rPr>
          <w:sz w:val="22"/>
          <w:szCs w:val="22"/>
        </w:rPr>
        <w:t xml:space="preserve">Rahmadani, M. L., Zulfah, Z., &amp; </w:t>
      </w:r>
      <w:proofErr w:type="spellStart"/>
      <w:r>
        <w:rPr>
          <w:sz w:val="22"/>
          <w:szCs w:val="22"/>
        </w:rPr>
        <w:t>Zulhendri</w:t>
      </w:r>
      <w:proofErr w:type="spellEnd"/>
      <w:r>
        <w:rPr>
          <w:sz w:val="22"/>
          <w:szCs w:val="22"/>
        </w:rPr>
        <w:t xml:space="preserve">, Z. (2023). </w:t>
      </w:r>
      <w:proofErr w:type="spellStart"/>
      <w:r>
        <w:rPr>
          <w:sz w:val="22"/>
          <w:szCs w:val="22"/>
        </w:rPr>
        <w:t>Pengaruh</w:t>
      </w:r>
      <w:proofErr w:type="spellEnd"/>
      <w:r>
        <w:rPr>
          <w:sz w:val="22"/>
          <w:szCs w:val="22"/>
        </w:rPr>
        <w:t xml:space="preserve"> </w:t>
      </w:r>
      <w:proofErr w:type="spellStart"/>
      <w:r>
        <w:rPr>
          <w:sz w:val="22"/>
          <w:szCs w:val="22"/>
        </w:rPr>
        <w:t>Pendekatan</w:t>
      </w:r>
      <w:proofErr w:type="spellEnd"/>
      <w:r>
        <w:rPr>
          <w:sz w:val="22"/>
          <w:szCs w:val="22"/>
        </w:rPr>
        <w:t xml:space="preserve"> Ethno-RME </w:t>
      </w:r>
      <w:proofErr w:type="spellStart"/>
      <w:r>
        <w:rPr>
          <w:sz w:val="22"/>
          <w:szCs w:val="22"/>
        </w:rPr>
        <w:t>terhadap</w:t>
      </w:r>
      <w:proofErr w:type="spellEnd"/>
      <w:r>
        <w:rPr>
          <w:sz w:val="22"/>
          <w:szCs w:val="22"/>
        </w:rPr>
        <w:t xml:space="preserve"> </w:t>
      </w:r>
      <w:proofErr w:type="spellStart"/>
      <w:r>
        <w:rPr>
          <w:sz w:val="22"/>
          <w:szCs w:val="22"/>
        </w:rPr>
        <w:t>Kemampuan</w:t>
      </w:r>
      <w:proofErr w:type="spellEnd"/>
      <w:r>
        <w:rPr>
          <w:sz w:val="22"/>
          <w:szCs w:val="22"/>
        </w:rPr>
        <w:t xml:space="preserve"> Pemahaman </w:t>
      </w:r>
      <w:proofErr w:type="spellStart"/>
      <w:r>
        <w:rPr>
          <w:sz w:val="22"/>
          <w:szCs w:val="22"/>
        </w:rPr>
        <w:t>Konsep</w:t>
      </w:r>
      <w:proofErr w:type="spellEnd"/>
      <w:r>
        <w:rPr>
          <w:sz w:val="22"/>
          <w:szCs w:val="22"/>
        </w:rPr>
        <w:t xml:space="preserve"> </w:t>
      </w:r>
      <w:proofErr w:type="spellStart"/>
      <w:r>
        <w:rPr>
          <w:sz w:val="22"/>
          <w:szCs w:val="22"/>
        </w:rPr>
        <w:t>Matematis</w:t>
      </w:r>
      <w:proofErr w:type="spellEnd"/>
      <w:r>
        <w:rPr>
          <w:sz w:val="22"/>
          <w:szCs w:val="22"/>
        </w:rPr>
        <w:t xml:space="preserve"> </w:t>
      </w:r>
      <w:proofErr w:type="spellStart"/>
      <w:r>
        <w:rPr>
          <w:sz w:val="22"/>
          <w:szCs w:val="22"/>
        </w:rPr>
        <w:t>Siswa</w:t>
      </w:r>
      <w:proofErr w:type="spellEnd"/>
      <w:r>
        <w:rPr>
          <w:sz w:val="22"/>
          <w:szCs w:val="22"/>
        </w:rPr>
        <w:t>. </w:t>
      </w:r>
      <w:proofErr w:type="spellStart"/>
      <w:r>
        <w:rPr>
          <w:i/>
          <w:iCs/>
          <w:sz w:val="22"/>
          <w:szCs w:val="22"/>
        </w:rPr>
        <w:t>Jurnal</w:t>
      </w:r>
      <w:proofErr w:type="spellEnd"/>
      <w:r>
        <w:rPr>
          <w:i/>
          <w:iCs/>
          <w:sz w:val="22"/>
          <w:szCs w:val="22"/>
        </w:rPr>
        <w:t xml:space="preserve"> Pendidikan MIPA</w:t>
      </w:r>
      <w:r>
        <w:rPr>
          <w:sz w:val="22"/>
          <w:szCs w:val="22"/>
        </w:rPr>
        <w:t>, </w:t>
      </w:r>
      <w:r>
        <w:rPr>
          <w:i/>
          <w:iCs/>
          <w:sz w:val="22"/>
          <w:szCs w:val="22"/>
        </w:rPr>
        <w:t>13</w:t>
      </w:r>
      <w:r>
        <w:rPr>
          <w:sz w:val="22"/>
          <w:szCs w:val="22"/>
        </w:rPr>
        <w:t xml:space="preserve">(4), 1162-1170. </w:t>
      </w:r>
      <w:hyperlink r:id="rId44">
        <w:r>
          <w:rPr>
            <w:color w:val="0000FF"/>
            <w:sz w:val="22"/>
            <w:szCs w:val="22"/>
            <w:u w:val="single"/>
          </w:rPr>
          <w:t>https://doi.org/10.37630/jpm.v13i4.1350</w:t>
        </w:r>
      </w:hyperlink>
    </w:p>
    <w:p w14:paraId="158EDFAC" w14:textId="77777777" w:rsidR="00915609" w:rsidRDefault="00361C24">
      <w:pPr>
        <w:spacing w:after="0"/>
        <w:ind w:left="567" w:hanging="567"/>
        <w:jc w:val="both"/>
        <w:rPr>
          <w:sz w:val="22"/>
          <w:szCs w:val="22"/>
        </w:rPr>
      </w:pPr>
      <w:proofErr w:type="spellStart"/>
      <w:r>
        <w:rPr>
          <w:sz w:val="22"/>
          <w:szCs w:val="22"/>
        </w:rPr>
        <w:t>Ramadany</w:t>
      </w:r>
      <w:proofErr w:type="spellEnd"/>
      <w:r>
        <w:rPr>
          <w:sz w:val="22"/>
          <w:szCs w:val="22"/>
        </w:rPr>
        <w:t xml:space="preserve">, L. D. (2020). </w:t>
      </w:r>
      <w:proofErr w:type="spellStart"/>
      <w:r>
        <w:rPr>
          <w:sz w:val="22"/>
          <w:szCs w:val="22"/>
        </w:rPr>
        <w:t>Analisis</w:t>
      </w:r>
      <w:proofErr w:type="spellEnd"/>
      <w:r>
        <w:rPr>
          <w:sz w:val="22"/>
          <w:szCs w:val="22"/>
        </w:rPr>
        <w:t xml:space="preserve"> </w:t>
      </w:r>
      <w:proofErr w:type="spellStart"/>
      <w:r>
        <w:rPr>
          <w:sz w:val="22"/>
          <w:szCs w:val="22"/>
        </w:rPr>
        <w:t>miskonsepsi</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kelas</w:t>
      </w:r>
      <w:proofErr w:type="spellEnd"/>
      <w:r>
        <w:rPr>
          <w:sz w:val="22"/>
          <w:szCs w:val="22"/>
        </w:rPr>
        <w:t xml:space="preserve"> V </w:t>
      </w:r>
      <w:proofErr w:type="spellStart"/>
      <w:r>
        <w:rPr>
          <w:sz w:val="22"/>
          <w:szCs w:val="22"/>
        </w:rPr>
        <w:t>dalam</w:t>
      </w:r>
      <w:proofErr w:type="spellEnd"/>
      <w:r>
        <w:rPr>
          <w:sz w:val="22"/>
          <w:szCs w:val="22"/>
        </w:rPr>
        <w:t xml:space="preserve"> </w:t>
      </w:r>
      <w:proofErr w:type="spellStart"/>
      <w:r>
        <w:rPr>
          <w:sz w:val="22"/>
          <w:szCs w:val="22"/>
        </w:rPr>
        <w:t>meyelesaikan</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bangun</w:t>
      </w:r>
      <w:proofErr w:type="spellEnd"/>
      <w:r>
        <w:rPr>
          <w:sz w:val="22"/>
          <w:szCs w:val="22"/>
        </w:rPr>
        <w:t xml:space="preserve"> </w:t>
      </w:r>
      <w:proofErr w:type="spellStart"/>
      <w:r>
        <w:rPr>
          <w:sz w:val="22"/>
          <w:szCs w:val="22"/>
        </w:rPr>
        <w:t>ruang</w:t>
      </w:r>
      <w:proofErr w:type="spellEnd"/>
      <w:r>
        <w:rPr>
          <w:sz w:val="22"/>
          <w:szCs w:val="22"/>
        </w:rPr>
        <w:t xml:space="preserve"> </w:t>
      </w:r>
      <w:proofErr w:type="spellStart"/>
      <w:r>
        <w:rPr>
          <w:sz w:val="22"/>
          <w:szCs w:val="22"/>
        </w:rPr>
        <w:t>berdasarkan</w:t>
      </w:r>
      <w:proofErr w:type="spellEnd"/>
      <w:r>
        <w:rPr>
          <w:sz w:val="22"/>
          <w:szCs w:val="22"/>
        </w:rPr>
        <w:t xml:space="preserve"> gender di SD IT Mutiara </w:t>
      </w:r>
      <w:proofErr w:type="spellStart"/>
      <w:r>
        <w:rPr>
          <w:sz w:val="22"/>
          <w:szCs w:val="22"/>
        </w:rPr>
        <w:t>Insan</w:t>
      </w:r>
      <w:proofErr w:type="spellEnd"/>
      <w:r>
        <w:rPr>
          <w:sz w:val="22"/>
          <w:szCs w:val="22"/>
        </w:rPr>
        <w:t xml:space="preserve"> Sorong. </w:t>
      </w:r>
      <w:proofErr w:type="spellStart"/>
      <w:r>
        <w:rPr>
          <w:i/>
          <w:iCs/>
          <w:sz w:val="22"/>
          <w:szCs w:val="22"/>
        </w:rPr>
        <w:t>Jurnal</w:t>
      </w:r>
      <w:proofErr w:type="spellEnd"/>
      <w:r>
        <w:rPr>
          <w:i/>
          <w:iCs/>
          <w:sz w:val="22"/>
          <w:szCs w:val="22"/>
        </w:rPr>
        <w:t xml:space="preserve"> Papeda: </w:t>
      </w:r>
      <w:proofErr w:type="spellStart"/>
      <w:r>
        <w:rPr>
          <w:i/>
          <w:iCs/>
          <w:sz w:val="22"/>
          <w:szCs w:val="22"/>
        </w:rPr>
        <w:t>Jurnal</w:t>
      </w:r>
      <w:proofErr w:type="spellEnd"/>
      <w:r>
        <w:rPr>
          <w:i/>
          <w:iCs/>
          <w:sz w:val="22"/>
          <w:szCs w:val="22"/>
        </w:rPr>
        <w:t xml:space="preserve"> </w:t>
      </w:r>
      <w:proofErr w:type="spellStart"/>
      <w:r>
        <w:rPr>
          <w:i/>
          <w:iCs/>
          <w:sz w:val="22"/>
          <w:szCs w:val="22"/>
        </w:rPr>
        <w:t>Publikasi</w:t>
      </w:r>
      <w:proofErr w:type="spellEnd"/>
      <w:r>
        <w:rPr>
          <w:i/>
          <w:iCs/>
          <w:sz w:val="22"/>
          <w:szCs w:val="22"/>
        </w:rPr>
        <w:t xml:space="preserve"> Pendidikan Dasar,</w:t>
      </w:r>
      <w:r>
        <w:rPr>
          <w:sz w:val="22"/>
          <w:szCs w:val="22"/>
        </w:rPr>
        <w:t xml:space="preserve"> 2</w:t>
      </w:r>
      <w:r>
        <w:rPr>
          <w:sz w:val="22"/>
          <w:szCs w:val="22"/>
        </w:rPr>
        <w:t xml:space="preserve">(1), 17–26. </w:t>
      </w:r>
      <w:hyperlink r:id="rId45">
        <w:r>
          <w:rPr>
            <w:color w:val="0000FF"/>
            <w:sz w:val="22"/>
            <w:szCs w:val="22"/>
            <w:u w:val="single"/>
          </w:rPr>
          <w:t>https://doi.org/10.36232/jurnalpendidikandasar.v2i1.406</w:t>
        </w:r>
      </w:hyperlink>
    </w:p>
    <w:p w14:paraId="252786A1" w14:textId="77777777" w:rsidR="00915609" w:rsidRDefault="00361C24">
      <w:pPr>
        <w:spacing w:after="0"/>
        <w:ind w:left="567" w:hanging="567"/>
        <w:jc w:val="both"/>
        <w:rPr>
          <w:sz w:val="22"/>
          <w:szCs w:val="22"/>
        </w:rPr>
      </w:pPr>
      <w:proofErr w:type="spellStart"/>
      <w:r>
        <w:rPr>
          <w:sz w:val="22"/>
          <w:szCs w:val="22"/>
        </w:rPr>
        <w:t>Rintayati</w:t>
      </w:r>
      <w:proofErr w:type="spellEnd"/>
      <w:r>
        <w:rPr>
          <w:sz w:val="22"/>
          <w:szCs w:val="22"/>
        </w:rPr>
        <w:t xml:space="preserve">, P., </w:t>
      </w:r>
      <w:proofErr w:type="spellStart"/>
      <w:r>
        <w:rPr>
          <w:sz w:val="22"/>
          <w:szCs w:val="22"/>
        </w:rPr>
        <w:t>Lukitasari</w:t>
      </w:r>
      <w:proofErr w:type="spellEnd"/>
      <w:r>
        <w:rPr>
          <w:sz w:val="22"/>
          <w:szCs w:val="22"/>
        </w:rPr>
        <w:t xml:space="preserve">, H., &amp; </w:t>
      </w:r>
      <w:proofErr w:type="spellStart"/>
      <w:r>
        <w:rPr>
          <w:sz w:val="22"/>
          <w:szCs w:val="22"/>
        </w:rPr>
        <w:t>Syawaludin</w:t>
      </w:r>
      <w:proofErr w:type="spellEnd"/>
      <w:r>
        <w:rPr>
          <w:sz w:val="22"/>
          <w:szCs w:val="22"/>
        </w:rPr>
        <w:t xml:space="preserve">, A. (2020). Development of two-tier </w:t>
      </w:r>
      <w:proofErr w:type="gramStart"/>
      <w:r>
        <w:rPr>
          <w:sz w:val="22"/>
          <w:szCs w:val="22"/>
        </w:rPr>
        <w:t>multiple choice</w:t>
      </w:r>
      <w:proofErr w:type="gramEnd"/>
      <w:r>
        <w:rPr>
          <w:sz w:val="22"/>
          <w:szCs w:val="22"/>
        </w:rPr>
        <w:t xml:space="preserve"> test to assess </w:t>
      </w:r>
      <w:proofErr w:type="spellStart"/>
      <w:r>
        <w:rPr>
          <w:sz w:val="22"/>
          <w:szCs w:val="22"/>
        </w:rPr>
        <w:t>indonesian</w:t>
      </w:r>
      <w:proofErr w:type="spellEnd"/>
      <w:r>
        <w:rPr>
          <w:sz w:val="22"/>
          <w:szCs w:val="22"/>
        </w:rPr>
        <w:t xml:space="preserve"> elementary students’ higher-order thinking skills. </w:t>
      </w:r>
      <w:r>
        <w:rPr>
          <w:i/>
          <w:iCs/>
          <w:sz w:val="22"/>
          <w:szCs w:val="22"/>
        </w:rPr>
        <w:t>International Journal of Instruction</w:t>
      </w:r>
      <w:r>
        <w:rPr>
          <w:sz w:val="22"/>
          <w:szCs w:val="22"/>
        </w:rPr>
        <w:t xml:space="preserve">, 14(1), 555–566. </w:t>
      </w:r>
      <w:hyperlink r:id="rId46">
        <w:r>
          <w:rPr>
            <w:color w:val="0000FF"/>
            <w:sz w:val="22"/>
            <w:szCs w:val="22"/>
            <w:u w:val="single"/>
          </w:rPr>
          <w:t>https://doi.org/10.29333/IJI.2021.14133A</w:t>
        </w:r>
      </w:hyperlink>
    </w:p>
    <w:p w14:paraId="78648A5A" w14:textId="77777777" w:rsidR="00915609" w:rsidRDefault="00361C24">
      <w:pPr>
        <w:spacing w:after="0"/>
        <w:ind w:left="567" w:hanging="567"/>
        <w:jc w:val="both"/>
        <w:rPr>
          <w:sz w:val="22"/>
          <w:szCs w:val="22"/>
        </w:rPr>
      </w:pPr>
      <w:proofErr w:type="spellStart"/>
      <w:r>
        <w:rPr>
          <w:sz w:val="22"/>
          <w:szCs w:val="22"/>
        </w:rPr>
        <w:t>Safitri</w:t>
      </w:r>
      <w:proofErr w:type="spellEnd"/>
      <w:r>
        <w:rPr>
          <w:sz w:val="22"/>
          <w:szCs w:val="22"/>
        </w:rPr>
        <w:t xml:space="preserve">, K. D., </w:t>
      </w:r>
      <w:proofErr w:type="spellStart"/>
      <w:r>
        <w:rPr>
          <w:sz w:val="22"/>
          <w:szCs w:val="22"/>
        </w:rPr>
        <w:t>Arifiati</w:t>
      </w:r>
      <w:proofErr w:type="spellEnd"/>
      <w:r>
        <w:rPr>
          <w:sz w:val="22"/>
          <w:szCs w:val="22"/>
        </w:rPr>
        <w:t xml:space="preserve">, B. A., &amp; </w:t>
      </w:r>
      <w:proofErr w:type="spellStart"/>
      <w:r>
        <w:rPr>
          <w:sz w:val="22"/>
          <w:szCs w:val="22"/>
        </w:rPr>
        <w:t>Susanti</w:t>
      </w:r>
      <w:proofErr w:type="spellEnd"/>
      <w:r>
        <w:rPr>
          <w:sz w:val="22"/>
          <w:szCs w:val="22"/>
        </w:rPr>
        <w:t xml:space="preserve">, P. (2023). </w:t>
      </w:r>
      <w:proofErr w:type="spellStart"/>
      <w:r>
        <w:rPr>
          <w:sz w:val="22"/>
          <w:szCs w:val="22"/>
        </w:rPr>
        <w:t>Analisis</w:t>
      </w:r>
      <w:proofErr w:type="spellEnd"/>
      <w:r>
        <w:rPr>
          <w:sz w:val="22"/>
          <w:szCs w:val="22"/>
        </w:rPr>
        <w:t xml:space="preserve"> </w:t>
      </w:r>
      <w:proofErr w:type="spellStart"/>
      <w:r>
        <w:rPr>
          <w:sz w:val="22"/>
          <w:szCs w:val="22"/>
        </w:rPr>
        <w:t>miskonsepsi</w:t>
      </w:r>
      <w:proofErr w:type="spellEnd"/>
      <w:r>
        <w:rPr>
          <w:sz w:val="22"/>
          <w:szCs w:val="22"/>
        </w:rPr>
        <w:t xml:space="preserve"> </w:t>
      </w:r>
      <w:proofErr w:type="spellStart"/>
      <w:r>
        <w:rPr>
          <w:sz w:val="22"/>
          <w:szCs w:val="22"/>
        </w:rPr>
        <w:t>pembelajaran</w:t>
      </w:r>
      <w:proofErr w:type="spellEnd"/>
      <w:r>
        <w:rPr>
          <w:sz w:val="22"/>
          <w:szCs w:val="22"/>
        </w:rPr>
        <w:t xml:space="preserve"> </w:t>
      </w:r>
      <w:proofErr w:type="spellStart"/>
      <w:r>
        <w:rPr>
          <w:sz w:val="22"/>
          <w:szCs w:val="22"/>
        </w:rPr>
        <w:t>matematika</w:t>
      </w:r>
      <w:proofErr w:type="spellEnd"/>
      <w:r>
        <w:rPr>
          <w:sz w:val="22"/>
          <w:szCs w:val="22"/>
        </w:rPr>
        <w:t xml:space="preserve"> pada guru dan </w:t>
      </w:r>
      <w:proofErr w:type="spellStart"/>
      <w:r>
        <w:rPr>
          <w:sz w:val="22"/>
          <w:szCs w:val="22"/>
        </w:rPr>
        <w:t>siswa</w:t>
      </w:r>
      <w:proofErr w:type="spellEnd"/>
      <w:r>
        <w:rPr>
          <w:sz w:val="22"/>
          <w:szCs w:val="22"/>
        </w:rPr>
        <w:t xml:space="preserve"> </w:t>
      </w:r>
      <w:proofErr w:type="spellStart"/>
      <w:r>
        <w:rPr>
          <w:sz w:val="22"/>
          <w:szCs w:val="22"/>
        </w:rPr>
        <w:t>sekolah</w:t>
      </w:r>
      <w:proofErr w:type="spellEnd"/>
      <w:r>
        <w:rPr>
          <w:sz w:val="22"/>
          <w:szCs w:val="22"/>
        </w:rPr>
        <w:t xml:space="preserve"> Dasar. </w:t>
      </w:r>
      <w:proofErr w:type="spellStart"/>
      <w:r>
        <w:rPr>
          <w:i/>
          <w:iCs/>
          <w:sz w:val="22"/>
          <w:szCs w:val="22"/>
        </w:rPr>
        <w:t>Jurnal</w:t>
      </w:r>
      <w:proofErr w:type="spellEnd"/>
      <w:r>
        <w:rPr>
          <w:i/>
          <w:iCs/>
          <w:sz w:val="22"/>
          <w:szCs w:val="22"/>
        </w:rPr>
        <w:t xml:space="preserve"> </w:t>
      </w:r>
      <w:proofErr w:type="spellStart"/>
      <w:r>
        <w:rPr>
          <w:i/>
          <w:iCs/>
          <w:sz w:val="22"/>
          <w:szCs w:val="22"/>
        </w:rPr>
        <w:t>Ilmiah</w:t>
      </w:r>
      <w:proofErr w:type="spellEnd"/>
      <w:r>
        <w:rPr>
          <w:i/>
          <w:iCs/>
          <w:sz w:val="22"/>
          <w:szCs w:val="22"/>
        </w:rPr>
        <w:t xml:space="preserve"> </w:t>
      </w:r>
      <w:proofErr w:type="spellStart"/>
      <w:r>
        <w:rPr>
          <w:i/>
          <w:iCs/>
          <w:sz w:val="22"/>
          <w:szCs w:val="22"/>
        </w:rPr>
        <w:t>Mandalika</w:t>
      </w:r>
      <w:proofErr w:type="spellEnd"/>
      <w:r>
        <w:rPr>
          <w:i/>
          <w:iCs/>
          <w:sz w:val="22"/>
          <w:szCs w:val="22"/>
        </w:rPr>
        <w:t xml:space="preserve"> Education (MADU)</w:t>
      </w:r>
      <w:r>
        <w:rPr>
          <w:sz w:val="22"/>
          <w:szCs w:val="22"/>
        </w:rPr>
        <w:t>, </w:t>
      </w:r>
      <w:r>
        <w:rPr>
          <w:i/>
          <w:iCs/>
          <w:sz w:val="22"/>
          <w:szCs w:val="22"/>
        </w:rPr>
        <w:t>1</w:t>
      </w:r>
      <w:r>
        <w:rPr>
          <w:sz w:val="22"/>
          <w:szCs w:val="22"/>
        </w:rPr>
        <w:t>(2), 2</w:t>
      </w:r>
      <w:r>
        <w:rPr>
          <w:sz w:val="22"/>
          <w:szCs w:val="22"/>
        </w:rPr>
        <w:t xml:space="preserve">53-257. </w:t>
      </w:r>
      <w:hyperlink r:id="rId47">
        <w:r>
          <w:rPr>
            <w:color w:val="0000FF"/>
            <w:sz w:val="22"/>
            <w:szCs w:val="22"/>
            <w:u w:val="single"/>
          </w:rPr>
          <w:t>https://doi.org/10.36312/madu.v1i2.51</w:t>
        </w:r>
      </w:hyperlink>
      <w:r>
        <w:rPr>
          <w:sz w:val="22"/>
          <w:szCs w:val="22"/>
        </w:rPr>
        <w:t xml:space="preserve"> </w:t>
      </w:r>
    </w:p>
    <w:p w14:paraId="441CA3EB" w14:textId="77777777" w:rsidR="00915609" w:rsidRDefault="00361C24">
      <w:pPr>
        <w:spacing w:after="0"/>
        <w:ind w:left="567" w:hanging="567"/>
        <w:jc w:val="both"/>
        <w:rPr>
          <w:sz w:val="22"/>
          <w:szCs w:val="22"/>
        </w:rPr>
      </w:pPr>
      <w:r>
        <w:rPr>
          <w:sz w:val="22"/>
          <w:szCs w:val="22"/>
        </w:rPr>
        <w:t>Sala, G., &amp; Gobet, F. (2017). Does chess instruction improve mathematical problem-solving ability? Two experimental studies with an active control group</w:t>
      </w:r>
      <w:r>
        <w:rPr>
          <w:sz w:val="22"/>
          <w:szCs w:val="22"/>
        </w:rPr>
        <w:t xml:space="preserve">. Learning and </w:t>
      </w:r>
      <w:proofErr w:type="spellStart"/>
      <w:r>
        <w:rPr>
          <w:sz w:val="22"/>
          <w:szCs w:val="22"/>
        </w:rPr>
        <w:t>Behavior</w:t>
      </w:r>
      <w:proofErr w:type="spellEnd"/>
      <w:r>
        <w:rPr>
          <w:sz w:val="22"/>
          <w:szCs w:val="22"/>
        </w:rPr>
        <w:t xml:space="preserve">, 45(4), 414–421. </w:t>
      </w:r>
      <w:hyperlink r:id="rId48">
        <w:r>
          <w:rPr>
            <w:color w:val="0000FF"/>
            <w:sz w:val="22"/>
            <w:szCs w:val="22"/>
            <w:u w:val="single"/>
          </w:rPr>
          <w:t>https://doi.org/10.3758/s13420-017-0280-3</w:t>
        </w:r>
      </w:hyperlink>
    </w:p>
    <w:p w14:paraId="19C946B7" w14:textId="77777777" w:rsidR="00915609" w:rsidRDefault="00361C24">
      <w:pPr>
        <w:spacing w:after="0"/>
        <w:ind w:left="567" w:hanging="567"/>
        <w:jc w:val="both"/>
        <w:rPr>
          <w:sz w:val="22"/>
          <w:szCs w:val="22"/>
        </w:rPr>
      </w:pPr>
      <w:r>
        <w:rPr>
          <w:sz w:val="22"/>
          <w:szCs w:val="22"/>
        </w:rPr>
        <w:t xml:space="preserve">Sass, W., De </w:t>
      </w:r>
      <w:proofErr w:type="spellStart"/>
      <w:r>
        <w:rPr>
          <w:sz w:val="22"/>
          <w:szCs w:val="22"/>
        </w:rPr>
        <w:t>Maeyer</w:t>
      </w:r>
      <w:proofErr w:type="spellEnd"/>
      <w:r>
        <w:rPr>
          <w:sz w:val="22"/>
          <w:szCs w:val="22"/>
        </w:rPr>
        <w:t xml:space="preserve">, S., Boeve-de Pauw, J., &amp; Van </w:t>
      </w:r>
      <w:proofErr w:type="spellStart"/>
      <w:r>
        <w:rPr>
          <w:sz w:val="22"/>
          <w:szCs w:val="22"/>
        </w:rPr>
        <w:t>Petegem</w:t>
      </w:r>
      <w:proofErr w:type="spellEnd"/>
      <w:r>
        <w:rPr>
          <w:sz w:val="22"/>
          <w:szCs w:val="22"/>
        </w:rPr>
        <w:t>, P. (2023). Honing action competence in sustainable de</w:t>
      </w:r>
      <w:r>
        <w:rPr>
          <w:sz w:val="22"/>
          <w:szCs w:val="22"/>
        </w:rPr>
        <w:t xml:space="preserve">velopment: what happens in classrooms matters. </w:t>
      </w:r>
      <w:r>
        <w:rPr>
          <w:i/>
          <w:iCs/>
          <w:sz w:val="22"/>
          <w:szCs w:val="22"/>
        </w:rPr>
        <w:t>Environment, Development and Sustainability,</w:t>
      </w:r>
      <w:r>
        <w:rPr>
          <w:sz w:val="22"/>
          <w:szCs w:val="22"/>
        </w:rPr>
        <w:t xml:space="preserve"> 25(4), 3649–3670. </w:t>
      </w:r>
      <w:hyperlink r:id="rId49">
        <w:r>
          <w:rPr>
            <w:color w:val="0000FF"/>
            <w:sz w:val="22"/>
            <w:szCs w:val="22"/>
            <w:u w:val="single"/>
          </w:rPr>
          <w:t>https://doi.org/10.1007/s10668-022-02195-9</w:t>
        </w:r>
      </w:hyperlink>
    </w:p>
    <w:p w14:paraId="59AA93E0" w14:textId="77777777" w:rsidR="00915609" w:rsidRDefault="00361C24">
      <w:pPr>
        <w:spacing w:after="0"/>
        <w:ind w:left="567" w:hanging="567"/>
        <w:jc w:val="both"/>
        <w:rPr>
          <w:sz w:val="22"/>
          <w:szCs w:val="22"/>
        </w:rPr>
      </w:pPr>
      <w:proofErr w:type="spellStart"/>
      <w:r>
        <w:rPr>
          <w:sz w:val="22"/>
          <w:szCs w:val="22"/>
        </w:rPr>
        <w:t>Setio</w:t>
      </w:r>
      <w:proofErr w:type="spellEnd"/>
      <w:r>
        <w:rPr>
          <w:sz w:val="22"/>
          <w:szCs w:val="22"/>
        </w:rPr>
        <w:t xml:space="preserve">, A. (2023). </w:t>
      </w:r>
      <w:r>
        <w:rPr>
          <w:i/>
          <w:iCs/>
          <w:sz w:val="22"/>
          <w:szCs w:val="22"/>
        </w:rPr>
        <w:t xml:space="preserve">Statistical </w:t>
      </w:r>
      <w:proofErr w:type="gramStart"/>
      <w:r>
        <w:rPr>
          <w:i/>
          <w:iCs/>
          <w:sz w:val="22"/>
          <w:szCs w:val="22"/>
        </w:rPr>
        <w:t>literacy :</w:t>
      </w:r>
      <w:proofErr w:type="gramEnd"/>
      <w:r>
        <w:rPr>
          <w:i/>
          <w:iCs/>
          <w:sz w:val="22"/>
          <w:szCs w:val="22"/>
        </w:rPr>
        <w:t xml:space="preserve"> </w:t>
      </w:r>
      <w:r>
        <w:rPr>
          <w:i/>
          <w:iCs/>
          <w:sz w:val="22"/>
          <w:szCs w:val="22"/>
        </w:rPr>
        <w:t>students ’ performance in solving numeracy-based statistic questions</w:t>
      </w:r>
      <w:r>
        <w:rPr>
          <w:sz w:val="22"/>
          <w:szCs w:val="22"/>
        </w:rPr>
        <w:t>. Atlantis Press International BV.</w:t>
      </w:r>
      <w:r>
        <w:rPr>
          <w:sz w:val="22"/>
          <w:szCs w:val="22"/>
        </w:rPr>
        <w:t xml:space="preserve">  </w:t>
      </w:r>
      <w:hyperlink r:id="rId50">
        <w:r>
          <w:rPr>
            <w:color w:val="0000FF"/>
            <w:sz w:val="22"/>
            <w:szCs w:val="22"/>
            <w:u w:val="single"/>
          </w:rPr>
          <w:t>https://doi.org/10.2991/978-94-6463-220-0_6</w:t>
        </w:r>
      </w:hyperlink>
      <w:r>
        <w:rPr>
          <w:sz w:val="22"/>
          <w:szCs w:val="22"/>
        </w:rPr>
        <w:t xml:space="preserve"> </w:t>
      </w:r>
    </w:p>
    <w:p w14:paraId="7FF7D775" w14:textId="77777777" w:rsidR="00915609" w:rsidRDefault="00361C24">
      <w:pPr>
        <w:spacing w:after="0"/>
        <w:ind w:left="567" w:hanging="567"/>
        <w:jc w:val="both"/>
        <w:rPr>
          <w:sz w:val="22"/>
          <w:szCs w:val="22"/>
        </w:rPr>
      </w:pPr>
      <w:r>
        <w:rPr>
          <w:sz w:val="22"/>
          <w:szCs w:val="22"/>
        </w:rPr>
        <w:t>Smith, W. M., Beattie, H. L., Ren, L., &amp; Hea</w:t>
      </w:r>
      <w:r>
        <w:rPr>
          <w:sz w:val="22"/>
          <w:szCs w:val="22"/>
        </w:rPr>
        <w:t xml:space="preserve">ton, R. M. (2020). The evolution of a child study assignment: a potential approach to developing elementary mathematics teachers’ professional noticing. </w:t>
      </w:r>
      <w:r>
        <w:rPr>
          <w:i/>
          <w:iCs/>
          <w:sz w:val="22"/>
          <w:szCs w:val="22"/>
        </w:rPr>
        <w:t>Journal of Early Childhood Teacher Education</w:t>
      </w:r>
      <w:r>
        <w:rPr>
          <w:sz w:val="22"/>
          <w:szCs w:val="22"/>
        </w:rPr>
        <w:t xml:space="preserve">, 43(3), 363–388. </w:t>
      </w:r>
      <w:hyperlink r:id="rId51">
        <w:r>
          <w:rPr>
            <w:color w:val="0000FF"/>
            <w:sz w:val="22"/>
            <w:szCs w:val="22"/>
            <w:u w:val="single"/>
          </w:rPr>
          <w:t>https://doi.org/10.1080/10901027.2020.1852346</w:t>
        </w:r>
      </w:hyperlink>
      <w:r>
        <w:rPr>
          <w:sz w:val="22"/>
          <w:szCs w:val="22"/>
        </w:rPr>
        <w:t xml:space="preserve"> </w:t>
      </w:r>
    </w:p>
    <w:p w14:paraId="62119099" w14:textId="77777777" w:rsidR="00915609" w:rsidRDefault="00361C24">
      <w:pPr>
        <w:spacing w:after="0"/>
        <w:ind w:left="567" w:hanging="567"/>
        <w:jc w:val="both"/>
        <w:rPr>
          <w:sz w:val="22"/>
          <w:szCs w:val="22"/>
        </w:rPr>
      </w:pPr>
      <w:proofErr w:type="spellStart"/>
      <w:r>
        <w:rPr>
          <w:sz w:val="22"/>
          <w:szCs w:val="22"/>
        </w:rPr>
        <w:t>Juandi</w:t>
      </w:r>
      <w:proofErr w:type="spellEnd"/>
      <w:r>
        <w:rPr>
          <w:sz w:val="22"/>
          <w:szCs w:val="22"/>
        </w:rPr>
        <w:t xml:space="preserve">, D., &amp; </w:t>
      </w:r>
      <w:proofErr w:type="spellStart"/>
      <w:r>
        <w:rPr>
          <w:sz w:val="22"/>
          <w:szCs w:val="22"/>
        </w:rPr>
        <w:t>Tamur</w:t>
      </w:r>
      <w:proofErr w:type="spellEnd"/>
      <w:r>
        <w:rPr>
          <w:sz w:val="22"/>
          <w:szCs w:val="22"/>
        </w:rPr>
        <w:t>, M. (2021). Review of problem-based learning trends in 2010-</w:t>
      </w:r>
      <w:proofErr w:type="gramStart"/>
      <w:r>
        <w:rPr>
          <w:sz w:val="22"/>
          <w:szCs w:val="22"/>
        </w:rPr>
        <w:t>2020 :</w:t>
      </w:r>
      <w:proofErr w:type="gramEnd"/>
      <w:r>
        <w:rPr>
          <w:sz w:val="22"/>
          <w:szCs w:val="22"/>
        </w:rPr>
        <w:t xml:space="preserve"> A meta-analysis study of the effect of problem-based learning in enhancing mathematical problem-so</w:t>
      </w:r>
      <w:r>
        <w:rPr>
          <w:sz w:val="22"/>
          <w:szCs w:val="22"/>
        </w:rPr>
        <w:t xml:space="preserve">lving skills of Indonesian students. </w:t>
      </w:r>
      <w:r>
        <w:rPr>
          <w:i/>
          <w:iCs/>
          <w:sz w:val="22"/>
          <w:szCs w:val="22"/>
        </w:rPr>
        <w:t>Journal of Physics: Conference Series</w:t>
      </w:r>
      <w:r>
        <w:rPr>
          <w:sz w:val="22"/>
          <w:szCs w:val="22"/>
        </w:rPr>
        <w:t xml:space="preserve">, 1772(1). </w:t>
      </w:r>
      <w:hyperlink r:id="rId52">
        <w:r>
          <w:rPr>
            <w:color w:val="0000FF"/>
            <w:sz w:val="22"/>
            <w:szCs w:val="22"/>
            <w:u w:val="single"/>
          </w:rPr>
          <w:t>https://doi.org/10.1088/1742-6596/1722/1/012103</w:t>
        </w:r>
      </w:hyperlink>
    </w:p>
    <w:p w14:paraId="56E52967" w14:textId="77777777" w:rsidR="00915609" w:rsidRDefault="00361C24">
      <w:pPr>
        <w:spacing w:after="0"/>
        <w:ind w:left="567" w:hanging="567"/>
        <w:jc w:val="both"/>
        <w:rPr>
          <w:sz w:val="22"/>
          <w:szCs w:val="22"/>
        </w:rPr>
      </w:pPr>
      <w:r>
        <w:rPr>
          <w:sz w:val="22"/>
          <w:szCs w:val="22"/>
        </w:rPr>
        <w:t xml:space="preserve">Susanta, A., Dewi Rahimah, </w:t>
      </w:r>
      <w:proofErr w:type="spellStart"/>
      <w:r>
        <w:rPr>
          <w:sz w:val="22"/>
          <w:szCs w:val="22"/>
        </w:rPr>
        <w:t>Irwan</w:t>
      </w:r>
      <w:proofErr w:type="spellEnd"/>
      <w:r>
        <w:rPr>
          <w:sz w:val="22"/>
          <w:szCs w:val="22"/>
        </w:rPr>
        <w:t xml:space="preserve"> Koto, Edi Susanto, </w:t>
      </w:r>
      <w:proofErr w:type="spellStart"/>
      <w:r>
        <w:rPr>
          <w:sz w:val="22"/>
          <w:szCs w:val="22"/>
        </w:rPr>
        <w:t>Much</w:t>
      </w:r>
      <w:r>
        <w:rPr>
          <w:sz w:val="22"/>
          <w:szCs w:val="22"/>
        </w:rPr>
        <w:t>lis</w:t>
      </w:r>
      <w:proofErr w:type="spellEnd"/>
      <w:r>
        <w:rPr>
          <w:sz w:val="22"/>
          <w:szCs w:val="22"/>
        </w:rPr>
        <w:t xml:space="preserve">, E. E., &amp; Mela Azizah. (2023). Enhancing elementary literacy skills through a contextualized coastal course book: a developmental study in Bengkulu, Indonesia. </w:t>
      </w:r>
      <w:proofErr w:type="spellStart"/>
      <w:r>
        <w:rPr>
          <w:i/>
          <w:iCs/>
          <w:sz w:val="22"/>
          <w:szCs w:val="22"/>
        </w:rPr>
        <w:t>Profesi</w:t>
      </w:r>
      <w:proofErr w:type="spellEnd"/>
      <w:r>
        <w:rPr>
          <w:i/>
          <w:iCs/>
          <w:sz w:val="22"/>
          <w:szCs w:val="22"/>
        </w:rPr>
        <w:t xml:space="preserve"> Pendidikan Dasar</w:t>
      </w:r>
      <w:r>
        <w:rPr>
          <w:sz w:val="22"/>
          <w:szCs w:val="22"/>
        </w:rPr>
        <w:t xml:space="preserve">, 1–16. </w:t>
      </w:r>
      <w:hyperlink r:id="rId53">
        <w:r>
          <w:rPr>
            <w:color w:val="0000FF"/>
            <w:sz w:val="22"/>
            <w:szCs w:val="22"/>
            <w:u w:val="single"/>
          </w:rPr>
          <w:t>https://doi.org/10.23917/ppd.v10i3.3169</w:t>
        </w:r>
      </w:hyperlink>
    </w:p>
    <w:p w14:paraId="30723CDF" w14:textId="77777777" w:rsidR="00915609" w:rsidRDefault="00361C24">
      <w:pPr>
        <w:spacing w:after="0"/>
        <w:ind w:left="567" w:hanging="567"/>
        <w:jc w:val="both"/>
        <w:rPr>
          <w:sz w:val="22"/>
          <w:szCs w:val="22"/>
        </w:rPr>
      </w:pPr>
      <w:proofErr w:type="spellStart"/>
      <w:r>
        <w:rPr>
          <w:sz w:val="22"/>
          <w:szCs w:val="22"/>
        </w:rPr>
        <w:t>Susanti</w:t>
      </w:r>
      <w:proofErr w:type="spellEnd"/>
      <w:r>
        <w:rPr>
          <w:sz w:val="22"/>
          <w:szCs w:val="22"/>
        </w:rPr>
        <w:t xml:space="preserve">, M., </w:t>
      </w:r>
      <w:proofErr w:type="spellStart"/>
      <w:r>
        <w:rPr>
          <w:sz w:val="22"/>
          <w:szCs w:val="22"/>
        </w:rPr>
        <w:t>Suyanto</w:t>
      </w:r>
      <w:proofErr w:type="spellEnd"/>
      <w:r>
        <w:rPr>
          <w:sz w:val="22"/>
          <w:szCs w:val="22"/>
        </w:rPr>
        <w:t xml:space="preserve">, S., Jailani, J., &amp; </w:t>
      </w:r>
      <w:proofErr w:type="spellStart"/>
      <w:r>
        <w:rPr>
          <w:sz w:val="22"/>
          <w:szCs w:val="22"/>
        </w:rPr>
        <w:t>Retnawati</w:t>
      </w:r>
      <w:proofErr w:type="spellEnd"/>
      <w:r>
        <w:rPr>
          <w:sz w:val="22"/>
          <w:szCs w:val="22"/>
        </w:rPr>
        <w:t>, H. (2023). Problem-Based learning for improving problem-solving and critical thinking skills: A case on probability theory course. </w:t>
      </w:r>
      <w:r>
        <w:rPr>
          <w:i/>
          <w:iCs/>
          <w:sz w:val="22"/>
          <w:szCs w:val="22"/>
        </w:rPr>
        <w:t>Journal of Education and Learning</w:t>
      </w:r>
      <w:r>
        <w:rPr>
          <w:i/>
          <w:iCs/>
          <w:sz w:val="22"/>
          <w:szCs w:val="22"/>
        </w:rPr>
        <w:t xml:space="preserve"> (EduLearn)</w:t>
      </w:r>
      <w:r>
        <w:rPr>
          <w:sz w:val="22"/>
          <w:szCs w:val="22"/>
        </w:rPr>
        <w:t>, </w:t>
      </w:r>
      <w:r>
        <w:rPr>
          <w:i/>
          <w:iCs/>
          <w:sz w:val="22"/>
          <w:szCs w:val="22"/>
        </w:rPr>
        <w:t>17</w:t>
      </w:r>
      <w:r>
        <w:rPr>
          <w:sz w:val="22"/>
          <w:szCs w:val="22"/>
        </w:rPr>
        <w:t xml:space="preserve">(4), 507-525. </w:t>
      </w:r>
      <w:hyperlink r:id="rId54">
        <w:r>
          <w:rPr>
            <w:color w:val="0000FF"/>
            <w:sz w:val="22"/>
            <w:szCs w:val="22"/>
            <w:u w:val="single"/>
          </w:rPr>
          <w:t>https://doi.org/10.11591/edulearn.v17i4.20866</w:t>
        </w:r>
      </w:hyperlink>
    </w:p>
    <w:p w14:paraId="2995F26E" w14:textId="77777777" w:rsidR="00915609" w:rsidRDefault="00361C24">
      <w:pPr>
        <w:spacing w:after="0"/>
        <w:ind w:left="567" w:hanging="567"/>
        <w:jc w:val="both"/>
        <w:rPr>
          <w:sz w:val="22"/>
          <w:szCs w:val="22"/>
        </w:rPr>
      </w:pPr>
      <w:r>
        <w:rPr>
          <w:sz w:val="22"/>
          <w:szCs w:val="22"/>
        </w:rPr>
        <w:lastRenderedPageBreak/>
        <w:t xml:space="preserve">Valente, M. J., &amp; MacKinnon, D. P. (2017). Comparing models of change to estimate the mediated effect in the </w:t>
      </w:r>
      <w:proofErr w:type="spellStart"/>
      <w:r>
        <w:rPr>
          <w:sz w:val="22"/>
          <w:szCs w:val="22"/>
        </w:rPr>
        <w:t>pretest</w:t>
      </w:r>
      <w:proofErr w:type="spellEnd"/>
      <w:r>
        <w:rPr>
          <w:sz w:val="22"/>
          <w:szCs w:val="22"/>
        </w:rPr>
        <w:t>–</w:t>
      </w:r>
      <w:proofErr w:type="spellStart"/>
      <w:r>
        <w:rPr>
          <w:sz w:val="22"/>
          <w:szCs w:val="22"/>
        </w:rPr>
        <w:t>posttest</w:t>
      </w:r>
      <w:proofErr w:type="spellEnd"/>
      <w:r>
        <w:rPr>
          <w:sz w:val="22"/>
          <w:szCs w:val="22"/>
        </w:rPr>
        <w:t xml:space="preserve"> control group design. </w:t>
      </w:r>
      <w:r>
        <w:rPr>
          <w:i/>
          <w:iCs/>
          <w:sz w:val="22"/>
          <w:szCs w:val="22"/>
        </w:rPr>
        <w:t xml:space="preserve">Structural Equation </w:t>
      </w:r>
      <w:proofErr w:type="spellStart"/>
      <w:r>
        <w:rPr>
          <w:i/>
          <w:iCs/>
          <w:sz w:val="22"/>
          <w:szCs w:val="22"/>
        </w:rPr>
        <w:t>Modeling</w:t>
      </w:r>
      <w:proofErr w:type="spellEnd"/>
      <w:r>
        <w:rPr>
          <w:sz w:val="22"/>
          <w:szCs w:val="22"/>
        </w:rPr>
        <w:t xml:space="preserve">, 24(3), 428–450. </w:t>
      </w:r>
      <w:hyperlink r:id="rId55">
        <w:r>
          <w:rPr>
            <w:color w:val="0000FF"/>
            <w:sz w:val="22"/>
            <w:szCs w:val="22"/>
            <w:u w:val="single"/>
          </w:rPr>
          <w:t>https://doi.org/10.1080/10705511.2016.1274657</w:t>
        </w:r>
      </w:hyperlink>
    </w:p>
    <w:p w14:paraId="7882415F" w14:textId="77777777" w:rsidR="00915609" w:rsidRDefault="00361C24">
      <w:pPr>
        <w:spacing w:after="0"/>
        <w:ind w:left="567" w:hanging="567"/>
        <w:jc w:val="both"/>
        <w:rPr>
          <w:sz w:val="22"/>
          <w:szCs w:val="22"/>
        </w:rPr>
      </w:pPr>
      <w:r>
        <w:rPr>
          <w:sz w:val="22"/>
          <w:szCs w:val="22"/>
        </w:rPr>
        <w:t>Westley, L. (2024). How might a mastery style of teaching in mathem</w:t>
      </w:r>
      <w:r>
        <w:rPr>
          <w:sz w:val="22"/>
          <w:szCs w:val="22"/>
        </w:rPr>
        <w:t xml:space="preserve">atics lead to deeper understanding and sustained levels of attainment? </w:t>
      </w:r>
      <w:r>
        <w:rPr>
          <w:i/>
          <w:iCs/>
          <w:sz w:val="22"/>
          <w:szCs w:val="22"/>
        </w:rPr>
        <w:t>Education</w:t>
      </w:r>
      <w:r>
        <w:rPr>
          <w:sz w:val="22"/>
          <w:szCs w:val="22"/>
        </w:rPr>
        <w:t xml:space="preserve"> 3-13, 1–14. </w:t>
      </w:r>
      <w:hyperlink r:id="rId56">
        <w:r>
          <w:rPr>
            <w:color w:val="0000FF"/>
            <w:sz w:val="22"/>
            <w:szCs w:val="22"/>
            <w:u w:val="single"/>
          </w:rPr>
          <w:t>https://doi.org/10.1080/03004279.2024.2405023</w:t>
        </w:r>
      </w:hyperlink>
      <w:r>
        <w:rPr>
          <w:sz w:val="22"/>
          <w:szCs w:val="22"/>
        </w:rPr>
        <w:t xml:space="preserve"> </w:t>
      </w:r>
    </w:p>
    <w:p w14:paraId="3812CA6E" w14:textId="77777777" w:rsidR="00915609" w:rsidRDefault="00361C24">
      <w:pPr>
        <w:spacing w:after="0"/>
        <w:ind w:left="567" w:hanging="567"/>
        <w:jc w:val="both"/>
        <w:rPr>
          <w:sz w:val="22"/>
          <w:szCs w:val="22"/>
        </w:rPr>
      </w:pPr>
      <w:proofErr w:type="spellStart"/>
      <w:r>
        <w:rPr>
          <w:sz w:val="22"/>
          <w:szCs w:val="22"/>
        </w:rPr>
        <w:t>Wildaniati</w:t>
      </w:r>
      <w:proofErr w:type="spellEnd"/>
      <w:r>
        <w:rPr>
          <w:sz w:val="22"/>
          <w:szCs w:val="22"/>
        </w:rPr>
        <w:t>, Y. (2019). Developing problem-based mat</w:t>
      </w:r>
      <w:r>
        <w:rPr>
          <w:sz w:val="22"/>
          <w:szCs w:val="22"/>
        </w:rPr>
        <w:t>hematics teaching materials to facilitate problem-solving ability achievement. </w:t>
      </w:r>
      <w:r>
        <w:rPr>
          <w:i/>
          <w:iCs/>
          <w:sz w:val="22"/>
          <w:szCs w:val="22"/>
        </w:rPr>
        <w:t xml:space="preserve">Elementary: </w:t>
      </w:r>
      <w:proofErr w:type="spellStart"/>
      <w:r>
        <w:rPr>
          <w:i/>
          <w:iCs/>
          <w:sz w:val="22"/>
          <w:szCs w:val="22"/>
        </w:rPr>
        <w:t>Jurnal</w:t>
      </w:r>
      <w:proofErr w:type="spellEnd"/>
      <w:r>
        <w:rPr>
          <w:i/>
          <w:iCs/>
          <w:sz w:val="22"/>
          <w:szCs w:val="22"/>
        </w:rPr>
        <w:t xml:space="preserve"> </w:t>
      </w:r>
      <w:proofErr w:type="spellStart"/>
      <w:r>
        <w:rPr>
          <w:i/>
          <w:iCs/>
          <w:sz w:val="22"/>
          <w:szCs w:val="22"/>
        </w:rPr>
        <w:t>Iilmiah</w:t>
      </w:r>
      <w:proofErr w:type="spellEnd"/>
      <w:r>
        <w:rPr>
          <w:i/>
          <w:iCs/>
          <w:sz w:val="22"/>
          <w:szCs w:val="22"/>
        </w:rPr>
        <w:t xml:space="preserve"> Pendidikan Dasar</w:t>
      </w:r>
      <w:r>
        <w:rPr>
          <w:sz w:val="22"/>
          <w:szCs w:val="22"/>
        </w:rPr>
        <w:t>, </w:t>
      </w:r>
      <w:r>
        <w:rPr>
          <w:i/>
          <w:iCs/>
          <w:sz w:val="22"/>
          <w:szCs w:val="22"/>
        </w:rPr>
        <w:t>5</w:t>
      </w:r>
      <w:r>
        <w:rPr>
          <w:sz w:val="22"/>
          <w:szCs w:val="22"/>
        </w:rPr>
        <w:t xml:space="preserve">(1), 27-38. </w:t>
      </w:r>
      <w:hyperlink r:id="rId57">
        <w:r>
          <w:rPr>
            <w:color w:val="0000FF"/>
            <w:sz w:val="22"/>
            <w:szCs w:val="22"/>
            <w:u w:val="single"/>
          </w:rPr>
          <w:t>https://e-journal.metrouniv.ac.id/ele</w:t>
        </w:r>
        <w:r>
          <w:rPr>
            <w:color w:val="0000FF"/>
            <w:sz w:val="22"/>
            <w:szCs w:val="22"/>
            <w:u w:val="single"/>
          </w:rPr>
          <w:t>mentary/article/view/1247</w:t>
        </w:r>
      </w:hyperlink>
      <w:r>
        <w:rPr>
          <w:sz w:val="22"/>
          <w:szCs w:val="22"/>
        </w:rPr>
        <w:t xml:space="preserve"> </w:t>
      </w:r>
    </w:p>
    <w:p w14:paraId="43ECAD9C" w14:textId="77777777" w:rsidR="00915609" w:rsidRDefault="00361C24">
      <w:pPr>
        <w:spacing w:after="0"/>
        <w:ind w:left="567" w:hanging="567"/>
        <w:jc w:val="both"/>
        <w:rPr>
          <w:sz w:val="22"/>
          <w:szCs w:val="22"/>
        </w:rPr>
      </w:pPr>
      <w:r>
        <w:rPr>
          <w:sz w:val="22"/>
          <w:szCs w:val="22"/>
        </w:rPr>
        <w:t xml:space="preserve">Yuliani, S. B., Dewi, S. K., Ain, Z. Q., &amp; </w:t>
      </w:r>
      <w:proofErr w:type="spellStart"/>
      <w:r>
        <w:rPr>
          <w:sz w:val="22"/>
          <w:szCs w:val="22"/>
        </w:rPr>
        <w:t>Palupi</w:t>
      </w:r>
      <w:proofErr w:type="spellEnd"/>
      <w:r>
        <w:rPr>
          <w:sz w:val="22"/>
          <w:szCs w:val="22"/>
        </w:rPr>
        <w:t xml:space="preserve">, E. L. W. (2023). </w:t>
      </w:r>
      <w:proofErr w:type="spellStart"/>
      <w:r>
        <w:rPr>
          <w:sz w:val="22"/>
          <w:szCs w:val="22"/>
        </w:rPr>
        <w:t>Pengembangan</w:t>
      </w:r>
      <w:proofErr w:type="spellEnd"/>
      <w:r>
        <w:rPr>
          <w:sz w:val="22"/>
          <w:szCs w:val="22"/>
        </w:rPr>
        <w:t xml:space="preserve"> </w:t>
      </w:r>
      <w:proofErr w:type="spellStart"/>
      <w:r>
        <w:rPr>
          <w:sz w:val="22"/>
          <w:szCs w:val="22"/>
        </w:rPr>
        <w:t>modul</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etno</w:t>
      </w:r>
      <w:proofErr w:type="spellEnd"/>
      <w:r>
        <w:rPr>
          <w:sz w:val="22"/>
          <w:szCs w:val="22"/>
        </w:rPr>
        <w:t xml:space="preserve">-RME </w:t>
      </w:r>
      <w:proofErr w:type="spellStart"/>
      <w:r>
        <w:rPr>
          <w:sz w:val="22"/>
          <w:szCs w:val="22"/>
        </w:rPr>
        <w:t>berbalut</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wayang</w:t>
      </w:r>
      <w:proofErr w:type="spellEnd"/>
      <w:r>
        <w:rPr>
          <w:sz w:val="22"/>
          <w:szCs w:val="22"/>
        </w:rPr>
        <w:t xml:space="preserve"> </w:t>
      </w:r>
      <w:proofErr w:type="spellStart"/>
      <w:r>
        <w:rPr>
          <w:sz w:val="22"/>
          <w:szCs w:val="22"/>
        </w:rPr>
        <w:t>kulit</w:t>
      </w:r>
      <w:proofErr w:type="spellEnd"/>
      <w:r>
        <w:rPr>
          <w:sz w:val="22"/>
          <w:szCs w:val="22"/>
        </w:rPr>
        <w:t xml:space="preserve"> </w:t>
      </w:r>
      <w:proofErr w:type="spellStart"/>
      <w:r>
        <w:rPr>
          <w:sz w:val="22"/>
          <w:szCs w:val="22"/>
        </w:rPr>
        <w:t>mahabharata</w:t>
      </w:r>
      <w:proofErr w:type="spellEnd"/>
      <w:r>
        <w:rPr>
          <w:sz w:val="22"/>
          <w:szCs w:val="22"/>
        </w:rPr>
        <w:t xml:space="preserve"> pada </w:t>
      </w:r>
      <w:proofErr w:type="spellStart"/>
      <w:r>
        <w:rPr>
          <w:sz w:val="22"/>
          <w:szCs w:val="22"/>
        </w:rPr>
        <w:t>materi</w:t>
      </w:r>
      <w:proofErr w:type="spellEnd"/>
      <w:r>
        <w:rPr>
          <w:sz w:val="22"/>
          <w:szCs w:val="22"/>
        </w:rPr>
        <w:t xml:space="preserve"> </w:t>
      </w:r>
      <w:proofErr w:type="spellStart"/>
      <w:r>
        <w:rPr>
          <w:sz w:val="22"/>
          <w:szCs w:val="22"/>
        </w:rPr>
        <w:t>himpunan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kelas</w:t>
      </w:r>
      <w:proofErr w:type="spellEnd"/>
      <w:r>
        <w:rPr>
          <w:sz w:val="22"/>
          <w:szCs w:val="22"/>
        </w:rPr>
        <w:t xml:space="preserve"> 7. </w:t>
      </w:r>
      <w:proofErr w:type="spellStart"/>
      <w:r>
        <w:rPr>
          <w:i/>
          <w:iCs/>
          <w:sz w:val="22"/>
          <w:szCs w:val="22"/>
        </w:rPr>
        <w:t>MATHEdunesa</w:t>
      </w:r>
      <w:proofErr w:type="spellEnd"/>
      <w:r>
        <w:rPr>
          <w:sz w:val="22"/>
          <w:szCs w:val="22"/>
        </w:rPr>
        <w:t xml:space="preserve">, 12(1), 108–128. </w:t>
      </w:r>
      <w:hyperlink r:id="rId58">
        <w:r>
          <w:rPr>
            <w:color w:val="0000FF"/>
            <w:sz w:val="22"/>
            <w:szCs w:val="22"/>
            <w:u w:val="single"/>
          </w:rPr>
          <w:t>https://doi.org/10.26740/mathedunesa.v12n1.p108-128</w:t>
        </w:r>
      </w:hyperlink>
    </w:p>
    <w:p w14:paraId="69CD16BB" w14:textId="77777777" w:rsidR="00915609" w:rsidRDefault="00361C24">
      <w:pPr>
        <w:spacing w:after="0"/>
        <w:ind w:left="567" w:hanging="567"/>
        <w:jc w:val="both"/>
        <w:rPr>
          <w:sz w:val="22"/>
          <w:szCs w:val="22"/>
        </w:rPr>
      </w:pPr>
      <w:proofErr w:type="spellStart"/>
      <w:r>
        <w:rPr>
          <w:sz w:val="22"/>
          <w:szCs w:val="22"/>
        </w:rPr>
        <w:t>Yusrizal</w:t>
      </w:r>
      <w:proofErr w:type="spellEnd"/>
      <w:r>
        <w:rPr>
          <w:sz w:val="22"/>
          <w:szCs w:val="22"/>
        </w:rPr>
        <w:t xml:space="preserve">, Y., &amp; Halim, A. (2017). The effect of the one-tier, two-tier, and three-tier diagnostic test toward the </w:t>
      </w:r>
      <w:proofErr w:type="spellStart"/>
      <w:r>
        <w:rPr>
          <w:sz w:val="22"/>
          <w:szCs w:val="22"/>
        </w:rPr>
        <w:t>students'confidence</w:t>
      </w:r>
      <w:proofErr w:type="spellEnd"/>
      <w:r>
        <w:rPr>
          <w:sz w:val="22"/>
          <w:szCs w:val="22"/>
        </w:rPr>
        <w:t xml:space="preserve"> and unders</w:t>
      </w:r>
      <w:r>
        <w:rPr>
          <w:sz w:val="22"/>
          <w:szCs w:val="22"/>
        </w:rPr>
        <w:t>tanding toward the concepts of atomic nuclear. </w:t>
      </w:r>
      <w:proofErr w:type="spellStart"/>
      <w:r>
        <w:rPr>
          <w:i/>
          <w:iCs/>
          <w:sz w:val="22"/>
          <w:szCs w:val="22"/>
        </w:rPr>
        <w:t>Unnes</w:t>
      </w:r>
      <w:proofErr w:type="spellEnd"/>
      <w:r>
        <w:rPr>
          <w:i/>
          <w:iCs/>
          <w:sz w:val="22"/>
          <w:szCs w:val="22"/>
        </w:rPr>
        <w:t xml:space="preserve"> Science Education Journal</w:t>
      </w:r>
      <w:r>
        <w:rPr>
          <w:sz w:val="22"/>
          <w:szCs w:val="22"/>
        </w:rPr>
        <w:t>, </w:t>
      </w:r>
      <w:r>
        <w:rPr>
          <w:i/>
          <w:iCs/>
          <w:sz w:val="22"/>
          <w:szCs w:val="22"/>
        </w:rPr>
        <w:t>6</w:t>
      </w:r>
      <w:r>
        <w:rPr>
          <w:sz w:val="22"/>
          <w:szCs w:val="22"/>
        </w:rPr>
        <w:t xml:space="preserve">(2). </w:t>
      </w:r>
      <w:hyperlink r:id="rId59">
        <w:r>
          <w:rPr>
            <w:color w:val="0000FF"/>
            <w:sz w:val="22"/>
            <w:szCs w:val="22"/>
            <w:u w:val="single"/>
          </w:rPr>
          <w:t>https://journal.unnes.ac.id/sju/usej/article/view/15856</w:t>
        </w:r>
      </w:hyperlink>
    </w:p>
    <w:p w14:paraId="7BEDF4B3" w14:textId="77777777" w:rsidR="00915609" w:rsidRDefault="00361C24">
      <w:pPr>
        <w:spacing w:after="0"/>
        <w:ind w:left="567" w:hanging="567"/>
        <w:jc w:val="both"/>
        <w:rPr>
          <w:sz w:val="22"/>
          <w:szCs w:val="22"/>
        </w:rPr>
      </w:pPr>
      <w:r>
        <w:rPr>
          <w:sz w:val="22"/>
          <w:szCs w:val="22"/>
        </w:rPr>
        <w:t>Zulu, M. W., &amp; Mudaly, V. (2023). Unvei</w:t>
      </w:r>
      <w:r>
        <w:rPr>
          <w:sz w:val="22"/>
          <w:szCs w:val="22"/>
        </w:rPr>
        <w:t xml:space="preserve">ling problem-solving strategies of pre-service mathematics teachers: A visual and discursive exploration. </w:t>
      </w:r>
      <w:r>
        <w:rPr>
          <w:i/>
          <w:iCs/>
          <w:sz w:val="22"/>
          <w:szCs w:val="22"/>
        </w:rPr>
        <w:t>Eurasia Journal of Mathematics, Science and Technology Education,</w:t>
      </w:r>
      <w:r>
        <w:rPr>
          <w:sz w:val="22"/>
          <w:szCs w:val="22"/>
        </w:rPr>
        <w:t xml:space="preserve"> 19(7). </w:t>
      </w:r>
      <w:hyperlink r:id="rId60">
        <w:r>
          <w:rPr>
            <w:color w:val="0000FF"/>
            <w:sz w:val="22"/>
            <w:szCs w:val="22"/>
            <w:u w:val="single"/>
          </w:rPr>
          <w:t>https://doi.org/10.2</w:t>
        </w:r>
        <w:r>
          <w:rPr>
            <w:color w:val="0000FF"/>
            <w:sz w:val="22"/>
            <w:szCs w:val="22"/>
            <w:u w:val="single"/>
          </w:rPr>
          <w:t>9333/ejmste/13344</w:t>
        </w:r>
      </w:hyperlink>
    </w:p>
    <w:sectPr w:rsidR="00915609">
      <w:headerReference w:type="even" r:id="rId61"/>
      <w:headerReference w:type="default" r:id="rId62"/>
      <w:footerReference w:type="even" r:id="rId63"/>
      <w:footerReference w:type="default" r:id="rId64"/>
      <w:headerReference w:type="first" r:id="rId65"/>
      <w:footerReference w:type="first" r:id="rId66"/>
      <w:pgSz w:w="11907" w:h="16840"/>
      <w:pgMar w:top="851" w:right="1418" w:bottom="1276" w:left="1418" w:header="426" w:footer="299" w:gutter="0"/>
      <w:pgNumType w:start="8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06BF9" w14:textId="77777777" w:rsidR="00361C24" w:rsidRDefault="00361C24">
      <w:pPr>
        <w:spacing w:after="0" w:line="240" w:lineRule="auto"/>
      </w:pPr>
      <w:r>
        <w:separator/>
      </w:r>
    </w:p>
  </w:endnote>
  <w:endnote w:type="continuationSeparator" w:id="0">
    <w:p w14:paraId="36AB1190" w14:textId="77777777" w:rsidR="00361C24" w:rsidRDefault="00361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91E3EC4C-E987-4B47-9B62-27203A1CD3DF}"/>
    <w:embedBold r:id="rId2" w:fontKey="{EAD73022-4D0B-4EB0-A4D1-FFCA1EBA657D}"/>
    <w:embedItalic r:id="rId3" w:fontKey="{F2F97F79-9F94-4A24-8833-522BB3FD154F}"/>
    <w:embedBoldItalic r:id="rId4" w:fontKey="{0B5E521B-B733-4E37-A46F-B7E2873BE87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A011CAAE-C5D3-480B-9E90-E321D859B29E}"/>
  </w:font>
  <w:font w:name="Century Gothic">
    <w:panose1 w:val="020B0502020202020204"/>
    <w:charset w:val="00"/>
    <w:family w:val="roman"/>
    <w:notTrueType/>
    <w:pitch w:val="default"/>
    <w:embedRegular r:id="rId6" w:fontKey="{D66A8C40-7DE2-4499-9E87-057FE16DFCEB}"/>
  </w:font>
  <w:font w:name="Times-Roman">
    <w:panose1 w:val="00000000000000000000"/>
    <w:charset w:val="00"/>
    <w:family w:val="roman"/>
    <w:notTrueType/>
    <w:pitch w:val="default"/>
  </w:font>
  <w:font w:name="Palatino Linotype">
    <w:panose1 w:val="02040502050505030304"/>
    <w:charset w:val="00"/>
    <w:family w:val="roman"/>
    <w:pitch w:val="variable"/>
    <w:sig w:usb0="00000003" w:usb1="00000000" w:usb2="00000000" w:usb3="00000000" w:csb0="00000001" w:csb1="00000000"/>
    <w:embedRegular r:id="rId7" w:fontKey="{08273985-3743-42DC-BEFC-44F738635A5B}"/>
    <w:embedItalic r:id="rId8" w:fontKey="{2BD85A96-D635-4A7B-A6A3-43CA463B831D}"/>
  </w:font>
  <w:font w:name="Cordia New">
    <w:panose1 w:val="020B0304020202020204"/>
    <w:charset w:val="DE"/>
    <w:family w:val="roman"/>
    <w:pitch w:val="variable"/>
    <w:sig w:usb0="01000001" w:usb1="00000000" w:usb2="00000000" w:usb3="00000000" w:csb0="00010000" w:csb1="00000000"/>
    <w:embedRegular r:id="rId9" w:fontKey="{693EA81B-E9A2-4D63-898D-46C84427F731}"/>
  </w:font>
  <w:font w:name="Georgia">
    <w:panose1 w:val="02040502050405020303"/>
    <w:charset w:val="00"/>
    <w:family w:val="roman"/>
    <w:pitch w:val="variable"/>
    <w:sig w:usb0="00000287" w:usb1="00000000" w:usb2="00000000" w:usb3="00000000" w:csb0="0000009F" w:csb1="00000000"/>
    <w:embedItalic r:id="rId10" w:fontKey="{76C48F5D-2685-469A-82C0-16CF0B530878}"/>
  </w:font>
  <w:font w:name="Cambria">
    <w:panose1 w:val="02040503050406030204"/>
    <w:charset w:val="00"/>
    <w:family w:val="roman"/>
    <w:pitch w:val="variable"/>
    <w:sig w:usb0="E00006FF" w:usb1="420024FF" w:usb2="02000000" w:usb3="00000000" w:csb0="0000019F" w:csb1="00000000"/>
    <w:embedRegular r:id="rId11" w:fontKey="{244C343C-09D7-4DBB-8894-9FBD8F5EFCD7}"/>
    <w:embedBold r:id="rId12" w:fontKey="{57BF6BDA-CD7B-43DE-931B-99514192E8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5689" w14:textId="77777777" w:rsidR="00915609" w:rsidRDefault="00361C24">
    <w:pPr>
      <w:widowControl w:val="0"/>
      <w:tabs>
        <w:tab w:val="left" w:pos="3408"/>
      </w:tabs>
      <w:spacing w:after="0" w:line="276" w:lineRule="auto"/>
      <w:rPr>
        <w:b/>
        <w:bCs/>
        <w:color w:val="0070C0"/>
      </w:rPr>
    </w:pPr>
    <w:r>
      <w:rPr>
        <w:b/>
        <w:bCs/>
        <w:color w:val="0070C0"/>
      </w:rPr>
      <w:tab/>
    </w:r>
    <w:r>
      <w:rPr>
        <w:noProof/>
      </w:rPr>
      <mc:AlternateContent>
        <mc:Choice Requires="wps">
          <w:drawing>
            <wp:anchor distT="0" distB="0" distL="114300" distR="114300" simplePos="0" relativeHeight="251663360" behindDoc="0" locked="0" layoutInCell="1" hidden="0" allowOverlap="1" wp14:anchorId="7DFD71C6" wp14:editId="7F02C6EA">
              <wp:simplePos x="0" y="0"/>
              <wp:positionH relativeFrom="column">
                <wp:posOffset>-43179</wp:posOffset>
              </wp:positionH>
              <wp:positionV relativeFrom="paragraph">
                <wp:posOffset>55880</wp:posOffset>
              </wp:positionV>
              <wp:extent cx="0" cy="38100"/>
              <wp:effectExtent l="0" t="0" r="0" b="0"/>
              <wp:wrapNone/>
              <wp:docPr id="40" name="Straight Arrow Connector 40"/>
              <wp:cNvGraphicFramePr/>
              <a:graphic xmlns:a="http://schemas.openxmlformats.org/drawingml/2006/main">
                <a:graphicData uri="http://schemas.microsoft.com/office/word/2010/wordprocessingShape">
                  <wps:wsp>
                    <wps:cNvCnPr/>
                    <wps:spPr>
                      <a:xfrm>
                        <a:off x="2459925" y="3780000"/>
                        <a:ext cx="5772150" cy="0"/>
                      </a:xfrm>
                      <a:prstGeom prst="straightConnector1">
                        <a:avLst/>
                      </a:prstGeom>
                      <a:noFill/>
                      <a:ln w="38100" cap="flat" cmpd="sng">
                        <a:solidFill>
                          <a:srgbClr val="2F3185"/>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-43179</wp:posOffset>
              </wp:positionH>
              <wp:positionV relativeFrom="paragraph">
                <wp:posOffset>55880</wp:posOffset>
              </wp:positionV>
              <wp:extent cx="0" cy="38100"/>
              <wp:effectExtent b="0" l="0" r="0" t="0"/>
              <wp:wrapNone/>
              <wp:docPr id="4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8100"/>
                      </a:xfrm>
                      <a:prstGeom prst="rect"/>
                      <a:ln/>
                    </pic:spPr>
                  </pic:pic>
                </a:graphicData>
              </a:graphic>
            </wp:anchor>
          </w:drawing>
        </mc:Fallback>
      </mc:AlternateContent>
    </w:r>
  </w:p>
  <w:tbl>
    <w:tblPr>
      <w:tblStyle w:val="aa"/>
      <w:tblW w:w="9150" w:type="dxa"/>
      <w:tblInd w:w="-115" w:type="dxa"/>
      <w:tblLayout w:type="fixed"/>
      <w:tblLook w:val="0400" w:firstRow="0" w:lastRow="0" w:firstColumn="0" w:lastColumn="0" w:noHBand="0" w:noVBand="1"/>
    </w:tblPr>
    <w:tblGrid>
      <w:gridCol w:w="4510"/>
      <w:gridCol w:w="4640"/>
    </w:tblGrid>
    <w:tr w:rsidR="00915609" w14:paraId="36DD9279" w14:textId="77777777">
      <w:trPr>
        <w:trHeight w:val="284"/>
      </w:trPr>
      <w:tc>
        <w:tcPr>
          <w:tcW w:w="4510" w:type="dxa"/>
        </w:tcPr>
        <w:p w14:paraId="66CBA91F" w14:textId="77777777" w:rsidR="00915609" w:rsidRDefault="00915609">
          <w:pPr>
            <w:tabs>
              <w:tab w:val="center" w:pos="4680"/>
              <w:tab w:val="right" w:pos="8364"/>
              <w:tab w:val="right" w:pos="9360"/>
            </w:tabs>
            <w:spacing w:after="0" w:line="256" w:lineRule="auto"/>
            <w:rPr>
              <w:b/>
              <w:bCs/>
              <w:color w:val="0070C0"/>
            </w:rPr>
          </w:pPr>
        </w:p>
      </w:tc>
      <w:tc>
        <w:tcPr>
          <w:tcW w:w="4640" w:type="dxa"/>
          <w:vAlign w:val="center"/>
        </w:tcPr>
        <w:p w14:paraId="2E2404EC" w14:textId="77777777" w:rsidR="00915609" w:rsidRDefault="00361C24">
          <w:pPr>
            <w:tabs>
              <w:tab w:val="center" w:pos="4680"/>
              <w:tab w:val="right" w:pos="8364"/>
              <w:tab w:val="right" w:pos="9360"/>
            </w:tabs>
            <w:spacing w:after="0" w:line="256" w:lineRule="auto"/>
            <w:rPr>
              <w:b/>
              <w:bCs/>
              <w:color w:val="2F3185"/>
            </w:rPr>
          </w:pPr>
          <w:r>
            <w:rPr>
              <w:b/>
              <w:bCs/>
              <w:color w:val="2F3185"/>
            </w:rPr>
            <w:t xml:space="preserve">                                              PRINTED ISSN 2406-8012</w:t>
          </w:r>
        </w:p>
      </w:tc>
    </w:tr>
  </w:tbl>
  <w:p w14:paraId="6D490365" w14:textId="777B97D9" w:rsidR="00915609" w:rsidRDefault="00361C24">
    <w:pPr>
      <w:tabs>
        <w:tab w:val="center" w:pos="4680"/>
        <w:tab w:val="right" w:pos="9360"/>
      </w:tabs>
      <w:spacing w:after="0" w:line="256" w:lineRule="auto"/>
      <w:rPr>
        <w:b/>
        <w:bCs/>
        <w:color w:val="2F3185"/>
      </w:rPr>
    </w:pPr>
    <w:r>
      <w:rPr>
        <w:b/>
        <w:bCs/>
        <w:color w:val="2F3185"/>
      </w:rPr>
      <w:fldChar w:fldCharType="begin"/>
    </w:r>
    <w:r>
      <w:rPr>
        <w:b/>
        <w:bCs/>
        <w:color w:val="2F3185"/>
      </w:rPr>
      <w:instrText>PAGE</w:instrText>
    </w:r>
    <w:r>
      <w:rPr>
        <w:b/>
        <w:bCs/>
        <w:color w:val="2F3185"/>
      </w:rPr>
      <w:fldChar w:fldCharType="separate"/>
    </w:r>
    <w:r w:rsidR="00CE08FA">
      <w:rPr>
        <w:b/>
        <w:bCs/>
        <w:noProof/>
        <w:color w:val="2F3185"/>
      </w:rPr>
      <w:t>84</w:t>
    </w:r>
    <w:r>
      <w:rPr>
        <w:b/>
        <w:bCs/>
        <w:color w:val="2F318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79B3" w14:textId="77777777" w:rsidR="00915609" w:rsidRDefault="00361C24">
    <w:pPr>
      <w:spacing w:line="256" w:lineRule="auto"/>
      <w:rPr>
        <w:b/>
        <w:bCs/>
        <w:color w:val="0070C0"/>
      </w:rPr>
    </w:pPr>
    <w:r>
      <w:rPr>
        <w:noProof/>
      </w:rPr>
      <mc:AlternateContent>
        <mc:Choice Requires="wps">
          <w:drawing>
            <wp:anchor distT="0" distB="0" distL="114300" distR="114300" simplePos="0" relativeHeight="251661312" behindDoc="0" locked="0" layoutInCell="1" hidden="0" allowOverlap="1" wp14:anchorId="2896074E" wp14:editId="1EA2FE66">
              <wp:simplePos x="0" y="0"/>
              <wp:positionH relativeFrom="column">
                <wp:posOffset>38101</wp:posOffset>
              </wp:positionH>
              <wp:positionV relativeFrom="paragraph">
                <wp:posOffset>107950</wp:posOffset>
              </wp:positionV>
              <wp:extent cx="0" cy="38100"/>
              <wp:effectExtent l="0" t="0" r="0" b="0"/>
              <wp:wrapNone/>
              <wp:docPr id="43" name="Straight Arrow Connector 43"/>
              <wp:cNvGraphicFramePr/>
              <a:graphic xmlns:a="http://schemas.openxmlformats.org/drawingml/2006/main">
                <a:graphicData uri="http://schemas.microsoft.com/office/word/2010/wordprocessingShape">
                  <wps:wsp>
                    <wps:cNvCnPr/>
                    <wps:spPr>
                      <a:xfrm>
                        <a:off x="2472625" y="3780000"/>
                        <a:ext cx="5746750" cy="0"/>
                      </a:xfrm>
                      <a:prstGeom prst="straightConnector1">
                        <a:avLst/>
                      </a:prstGeom>
                      <a:noFill/>
                      <a:ln w="38100" cap="flat" cmpd="sng">
                        <a:solidFill>
                          <a:srgbClr val="2F3185"/>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107950</wp:posOffset>
              </wp:positionV>
              <wp:extent cx="0" cy="38100"/>
              <wp:effectExtent b="0" l="0" r="0" t="0"/>
              <wp:wrapNone/>
              <wp:docPr id="4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38100"/>
                      </a:xfrm>
                      <a:prstGeom prst="rect"/>
                      <a:ln/>
                    </pic:spPr>
                  </pic:pic>
                </a:graphicData>
              </a:graphic>
            </wp:anchor>
          </w:drawing>
        </mc:Fallback>
      </mc:AlternateContent>
    </w:r>
  </w:p>
  <w:tbl>
    <w:tblPr>
      <w:tblStyle w:val="ab"/>
      <w:tblW w:w="7590" w:type="dxa"/>
      <w:tblInd w:w="-115" w:type="dxa"/>
      <w:tblLayout w:type="fixed"/>
      <w:tblLook w:val="0400" w:firstRow="0" w:lastRow="0" w:firstColumn="0" w:lastColumn="0" w:noHBand="0" w:noVBand="1"/>
    </w:tblPr>
    <w:tblGrid>
      <w:gridCol w:w="3840"/>
      <w:gridCol w:w="3750"/>
    </w:tblGrid>
    <w:tr w:rsidR="00915609" w14:paraId="60B06656" w14:textId="77777777">
      <w:tc>
        <w:tcPr>
          <w:tcW w:w="3840" w:type="dxa"/>
          <w:vAlign w:val="center"/>
        </w:tcPr>
        <w:p w14:paraId="72C171D6" w14:textId="77777777" w:rsidR="00915609" w:rsidRDefault="00361C24">
          <w:pPr>
            <w:tabs>
              <w:tab w:val="center" w:pos="4680"/>
              <w:tab w:val="right" w:pos="8364"/>
              <w:tab w:val="right" w:pos="9360"/>
            </w:tabs>
            <w:spacing w:after="0" w:line="256" w:lineRule="auto"/>
            <w:rPr>
              <w:b/>
              <w:bCs/>
              <w:color w:val="0070C0"/>
            </w:rPr>
          </w:pPr>
          <w:r>
            <w:rPr>
              <w:b/>
              <w:bCs/>
              <w:color w:val="2F3185"/>
            </w:rPr>
            <w:t>ONLINE ISSN 2503-3530</w:t>
          </w:r>
        </w:p>
      </w:tc>
      <w:tc>
        <w:tcPr>
          <w:tcW w:w="3750" w:type="dxa"/>
        </w:tcPr>
        <w:p w14:paraId="02390639" w14:textId="77777777" w:rsidR="00915609" w:rsidRDefault="00915609">
          <w:pPr>
            <w:tabs>
              <w:tab w:val="center" w:pos="4680"/>
              <w:tab w:val="right" w:pos="8364"/>
              <w:tab w:val="right" w:pos="9360"/>
            </w:tabs>
            <w:spacing w:after="0" w:line="256" w:lineRule="auto"/>
            <w:rPr>
              <w:b/>
              <w:bCs/>
              <w:color w:val="0070C0"/>
            </w:rPr>
          </w:pPr>
        </w:p>
      </w:tc>
    </w:tr>
  </w:tbl>
  <w:p w14:paraId="6A52E2D5" w14:textId="77777777" w:rsidR="00915609" w:rsidRDefault="00361C24">
    <w:pPr>
      <w:tabs>
        <w:tab w:val="center" w:pos="4680"/>
        <w:tab w:val="right" w:pos="9360"/>
      </w:tabs>
      <w:spacing w:after="0" w:line="256" w:lineRule="auto"/>
      <w:jc w:val="right"/>
      <w:rPr>
        <w:b/>
        <w:bCs/>
        <w:color w:val="2F3185"/>
      </w:rPr>
    </w:pPr>
    <w:r>
      <w:rPr>
        <w:b/>
        <w:bCs/>
        <w:color w:val="2F3185"/>
      </w:rPr>
      <w:fldChar w:fldCharType="begin"/>
    </w:r>
    <w:r>
      <w:rPr>
        <w:b/>
        <w:bCs/>
        <w:color w:val="2F3185"/>
      </w:rPr>
      <w:instrText>PAGE</w:instrText>
    </w:r>
    <w:r>
      <w:rPr>
        <w:b/>
        <w:bCs/>
        <w:color w:val="2F3185"/>
      </w:rPr>
      <w:fldChar w:fldCharType="separate"/>
    </w:r>
    <w:r w:rsidR="00CE08FA">
      <w:rPr>
        <w:b/>
        <w:bCs/>
        <w:noProof/>
        <w:color w:val="2F3185"/>
      </w:rPr>
      <w:t>83</w:t>
    </w:r>
    <w:r>
      <w:rPr>
        <w:b/>
        <w:bCs/>
        <w:color w:val="2F318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821EF" w14:textId="77777777" w:rsidR="00915609" w:rsidRDefault="00361C24">
    <w:pPr>
      <w:tabs>
        <w:tab w:val="center" w:pos="4680"/>
        <w:tab w:val="right" w:pos="8364"/>
        <w:tab w:val="right" w:pos="9360"/>
      </w:tabs>
      <w:spacing w:line="240" w:lineRule="auto"/>
      <w:rPr>
        <w:b/>
        <w:bCs/>
        <w:color w:val="0070C0"/>
      </w:rPr>
    </w:pPr>
    <w:r>
      <w:rPr>
        <w:noProof/>
      </w:rPr>
      <mc:AlternateContent>
        <mc:Choice Requires="wps">
          <w:drawing>
            <wp:anchor distT="0" distB="0" distL="114300" distR="114300" simplePos="0" relativeHeight="251662336" behindDoc="0" locked="0" layoutInCell="1" hidden="0" allowOverlap="1" wp14:anchorId="7D5F8FE9" wp14:editId="5620D322">
              <wp:simplePos x="0" y="0"/>
              <wp:positionH relativeFrom="column">
                <wp:posOffset>50801</wp:posOffset>
              </wp:positionH>
              <wp:positionV relativeFrom="paragraph">
                <wp:posOffset>158750</wp:posOffset>
              </wp:positionV>
              <wp:extent cx="0" cy="38100"/>
              <wp:effectExtent l="0" t="0" r="0" b="0"/>
              <wp:wrapNone/>
              <wp:docPr id="44" name="Straight Arrow Connector 44"/>
              <wp:cNvGraphicFramePr/>
              <a:graphic xmlns:a="http://schemas.openxmlformats.org/drawingml/2006/main">
                <a:graphicData uri="http://schemas.microsoft.com/office/word/2010/wordprocessingShape">
                  <wps:wsp>
                    <wps:cNvCnPr/>
                    <wps:spPr>
                      <a:xfrm>
                        <a:off x="2475800" y="3780000"/>
                        <a:ext cx="5740400" cy="0"/>
                      </a:xfrm>
                      <a:prstGeom prst="straightConnector1">
                        <a:avLst/>
                      </a:prstGeom>
                      <a:noFill/>
                      <a:ln w="38100" cap="flat" cmpd="sng">
                        <a:solidFill>
                          <a:srgbClr val="2F3185"/>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158750</wp:posOffset>
              </wp:positionV>
              <wp:extent cx="0" cy="38100"/>
              <wp:effectExtent b="0" l="0" r="0" t="0"/>
              <wp:wrapNone/>
              <wp:docPr id="4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38100"/>
                      </a:xfrm>
                      <a:prstGeom prst="rect"/>
                      <a:ln/>
                    </pic:spPr>
                  </pic:pic>
                </a:graphicData>
              </a:graphic>
            </wp:anchor>
          </w:drawing>
        </mc:Fallback>
      </mc:AlternateContent>
    </w:r>
  </w:p>
  <w:p w14:paraId="165ABC92" w14:textId="77777777" w:rsidR="00915609" w:rsidRDefault="00361C24">
    <w:pPr>
      <w:tabs>
        <w:tab w:val="center" w:pos="4680"/>
        <w:tab w:val="right" w:pos="8364"/>
        <w:tab w:val="right" w:pos="9360"/>
      </w:tabs>
      <w:spacing w:line="240" w:lineRule="auto"/>
      <w:rPr>
        <w:b/>
        <w:bCs/>
        <w:color w:val="2F3185"/>
      </w:rPr>
    </w:pPr>
    <w:r>
      <w:rPr>
        <w:b/>
        <w:bCs/>
        <w:color w:val="2F3185"/>
      </w:rPr>
      <w:t xml:space="preserve"> © The Author(s). 2025</w:t>
    </w:r>
    <w:r>
      <w:rPr>
        <w:b/>
        <w:bCs/>
        <w:color w:val="2F3185"/>
      </w:rPr>
      <w:br/>
    </w:r>
    <w:r>
      <w:rPr>
        <w:b/>
        <w:bCs/>
        <w:noProof/>
        <w:color w:val="2F3185"/>
      </w:rPr>
      <w:drawing>
        <wp:inline distT="0" distB="0" distL="0" distR="0" wp14:anchorId="445091FF" wp14:editId="61FDCAE3">
          <wp:extent cx="838200" cy="297180"/>
          <wp:effectExtent l="0" t="0" r="0" b="0"/>
          <wp:docPr id="4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2"/>
                  <a:srcRect/>
                  <a:stretch>
                    <a:fillRect/>
                  </a:stretch>
                </pic:blipFill>
                <pic:spPr>
                  <a:xfrm>
                    <a:off x="0" y="0"/>
                    <a:ext cx="838200" cy="297180"/>
                  </a:xfrm>
                  <a:prstGeom prst="rect">
                    <a:avLst/>
                  </a:prstGeom>
                  <a:ln/>
                </pic:spPr>
              </pic:pic>
            </a:graphicData>
          </a:graphic>
        </wp:inline>
      </w:drawing>
    </w:r>
    <w:r>
      <w:rPr>
        <w:b/>
        <w:bCs/>
        <w:color w:val="2F3185"/>
      </w:rPr>
      <w:br/>
      <w:t>This work is licensed under a </w:t>
    </w:r>
    <w:hyperlink r:id="rId3">
      <w:r>
        <w:rPr>
          <w:b/>
          <w:bCs/>
          <w:color w:val="2F3185"/>
          <w:u w:val="single"/>
        </w:rPr>
        <w:t>Creative Commons Attribution 4.0 International License</w:t>
      </w:r>
    </w:hyperlink>
  </w:p>
  <w:p w14:paraId="3200F280" w14:textId="77777777" w:rsidR="00915609" w:rsidRDefault="00361C24">
    <w:pPr>
      <w:tabs>
        <w:tab w:val="center" w:pos="4680"/>
        <w:tab w:val="right" w:pos="9360"/>
      </w:tabs>
      <w:spacing w:line="240" w:lineRule="auto"/>
      <w:rPr>
        <w:b/>
        <w:bCs/>
        <w:color w:val="2F3185"/>
      </w:rPr>
    </w:pPr>
    <w:r>
      <w:rPr>
        <w:b/>
        <w:bCs/>
        <w:color w:val="2F3185"/>
      </w:rPr>
      <w:fldChar w:fldCharType="begin"/>
    </w:r>
    <w:r>
      <w:rPr>
        <w:b/>
        <w:bCs/>
        <w:color w:val="2F3185"/>
      </w:rPr>
      <w:instrText>PAGE</w:instrText>
    </w:r>
    <w:r>
      <w:rPr>
        <w:b/>
        <w:bCs/>
        <w:color w:val="2F3185"/>
      </w:rPr>
      <w:fldChar w:fldCharType="separate"/>
    </w:r>
    <w:r w:rsidR="00CE08FA">
      <w:rPr>
        <w:b/>
        <w:bCs/>
        <w:noProof/>
        <w:color w:val="2F3185"/>
      </w:rPr>
      <w:t>82</w:t>
    </w:r>
    <w:r>
      <w:rPr>
        <w:b/>
        <w:bCs/>
        <w:color w:val="2F318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948B1" w14:textId="77777777" w:rsidR="00361C24" w:rsidRDefault="00361C24">
      <w:pPr>
        <w:spacing w:after="0" w:line="240" w:lineRule="auto"/>
      </w:pPr>
      <w:r>
        <w:separator/>
      </w:r>
    </w:p>
  </w:footnote>
  <w:footnote w:type="continuationSeparator" w:id="0">
    <w:p w14:paraId="2308AE45" w14:textId="77777777" w:rsidR="00361C24" w:rsidRDefault="00361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CBD9" w14:textId="77777777" w:rsidR="00915609" w:rsidRDefault="00361C24">
    <w:pPr>
      <w:tabs>
        <w:tab w:val="center" w:pos="4320"/>
        <w:tab w:val="right" w:pos="8640"/>
      </w:tabs>
      <w:spacing w:after="0" w:line="256" w:lineRule="auto"/>
      <w:rPr>
        <w:b/>
        <w:bCs/>
        <w:color w:val="2F3185"/>
      </w:rPr>
    </w:pPr>
    <w:bookmarkStart w:id="1" w:name="_heading=h.8m0ss36iwozk" w:colFirst="0" w:colLast="0"/>
    <w:bookmarkEnd w:id="1"/>
    <w:r>
      <w:rPr>
        <w:b/>
        <w:bCs/>
        <w:color w:val="2F3185"/>
      </w:rPr>
      <w:t>Putri et al.  –The Contribution of Ethno-Realistic Mathematics Education...</w:t>
    </w:r>
  </w:p>
  <w:p w14:paraId="6D7A32E0" w14:textId="77777777" w:rsidR="00915609" w:rsidRDefault="00361C24">
    <w:pPr>
      <w:tabs>
        <w:tab w:val="center" w:pos="4320"/>
        <w:tab w:val="right" w:pos="8640"/>
      </w:tabs>
      <w:spacing w:after="0" w:line="256" w:lineRule="auto"/>
      <w:rPr>
        <w:color w:val="0070C0"/>
      </w:rPr>
    </w:pPr>
    <w:r>
      <w:rPr>
        <w:noProof/>
      </w:rPr>
      <mc:AlternateContent>
        <mc:Choice Requires="wps">
          <w:drawing>
            <wp:anchor distT="0" distB="0" distL="114300" distR="114300" simplePos="0" relativeHeight="251660288" behindDoc="0" locked="0" layoutInCell="1" hidden="0" allowOverlap="1" wp14:anchorId="53EFEED7" wp14:editId="36AA9F06">
              <wp:simplePos x="0" y="0"/>
              <wp:positionH relativeFrom="column">
                <wp:posOffset>-1269</wp:posOffset>
              </wp:positionH>
              <wp:positionV relativeFrom="paragraph">
                <wp:posOffset>69215</wp:posOffset>
              </wp:positionV>
              <wp:extent cx="0" cy="38100"/>
              <wp:effectExtent l="0" t="0" r="0" b="0"/>
              <wp:wrapNone/>
              <wp:docPr id="42" name="Straight Arrow Connector 42"/>
              <wp:cNvGraphicFramePr/>
              <a:graphic xmlns:a="http://schemas.openxmlformats.org/drawingml/2006/main">
                <a:graphicData uri="http://schemas.microsoft.com/office/word/2010/wordprocessingShape">
                  <wps:wsp>
                    <wps:cNvCnPr/>
                    <wps:spPr>
                      <a:xfrm>
                        <a:off x="2480880" y="3780000"/>
                        <a:ext cx="5730240" cy="0"/>
                      </a:xfrm>
                      <a:prstGeom prst="straightConnector1">
                        <a:avLst/>
                      </a:prstGeom>
                      <a:noFill/>
                      <a:ln w="38100" cap="flat" cmpd="sng">
                        <a:solidFill>
                          <a:srgbClr val="2F3185"/>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wp:posOffset>
              </wp:positionH>
              <wp:positionV relativeFrom="paragraph">
                <wp:posOffset>69215</wp:posOffset>
              </wp:positionV>
              <wp:extent cx="0" cy="38100"/>
              <wp:effectExtent b="0" l="0" r="0" t="0"/>
              <wp:wrapNone/>
              <wp:docPr id="4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381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E40D" w14:textId="77777777" w:rsidR="00915609" w:rsidRDefault="00915609">
    <w:pPr>
      <w:widowControl w:val="0"/>
      <w:spacing w:after="0" w:line="276" w:lineRule="auto"/>
      <w:rPr>
        <w:color w:val="000000"/>
      </w:rPr>
    </w:pPr>
    <w:bookmarkStart w:id="2" w:name="_heading=h.rd40d344m997" w:colFirst="0" w:colLast="0"/>
    <w:bookmarkEnd w:id="2"/>
  </w:p>
  <w:tbl>
    <w:tblPr>
      <w:tblStyle w:val="a8"/>
      <w:tblW w:w="4185" w:type="dxa"/>
      <w:jc w:val="right"/>
      <w:tblLayout w:type="fixed"/>
      <w:tblLook w:val="0400" w:firstRow="0" w:lastRow="0" w:firstColumn="0" w:lastColumn="0" w:noHBand="0" w:noVBand="1"/>
    </w:tblPr>
    <w:tblGrid>
      <w:gridCol w:w="1555"/>
      <w:gridCol w:w="2630"/>
    </w:tblGrid>
    <w:tr w:rsidR="00915609" w14:paraId="487403F7" w14:textId="77777777">
      <w:trPr>
        <w:jc w:val="right"/>
      </w:trPr>
      <w:tc>
        <w:tcPr>
          <w:tcW w:w="1555" w:type="dxa"/>
          <w:vAlign w:val="center"/>
        </w:tcPr>
        <w:p w14:paraId="0AE1B937" w14:textId="77777777" w:rsidR="00915609" w:rsidRDefault="00915609">
          <w:pPr>
            <w:tabs>
              <w:tab w:val="center" w:pos="4320"/>
              <w:tab w:val="right" w:pos="8640"/>
            </w:tabs>
            <w:spacing w:after="0" w:line="256" w:lineRule="auto"/>
            <w:ind w:right="-101"/>
            <w:jc w:val="right"/>
            <w:rPr>
              <w:smallCaps/>
              <w:color w:val="000000"/>
            </w:rPr>
          </w:pPr>
        </w:p>
      </w:tc>
      <w:tc>
        <w:tcPr>
          <w:tcW w:w="2630" w:type="dxa"/>
          <w:vAlign w:val="center"/>
        </w:tcPr>
        <w:p w14:paraId="108B3B70" w14:textId="77777777" w:rsidR="00915609" w:rsidRDefault="00361C24">
          <w:pPr>
            <w:tabs>
              <w:tab w:val="center" w:pos="4320"/>
              <w:tab w:val="right" w:pos="8640"/>
            </w:tabs>
            <w:spacing w:after="0" w:line="256" w:lineRule="auto"/>
            <w:ind w:left="-108"/>
            <w:jc w:val="right"/>
            <w:rPr>
              <w:b/>
              <w:bCs/>
              <w:i/>
              <w:iCs/>
              <w:color w:val="2F3185"/>
              <w:sz w:val="22"/>
              <w:szCs w:val="22"/>
            </w:rPr>
          </w:pPr>
          <w:r>
            <w:rPr>
              <w:b/>
              <w:bCs/>
              <w:color w:val="2F3185"/>
            </w:rPr>
            <w:t>Vol. 12, No. 2, August 2025</w:t>
          </w:r>
        </w:p>
      </w:tc>
    </w:tr>
  </w:tbl>
  <w:p w14:paraId="25C8F120" w14:textId="77777777" w:rsidR="00915609" w:rsidRDefault="00361C24">
    <w:pPr>
      <w:tabs>
        <w:tab w:val="center" w:pos="4320"/>
        <w:tab w:val="right" w:pos="8640"/>
      </w:tabs>
      <w:spacing w:after="0" w:line="256" w:lineRule="auto"/>
      <w:rPr>
        <w:color w:val="000000"/>
      </w:rPr>
    </w:pPr>
    <w:r>
      <w:rPr>
        <w:noProof/>
      </w:rPr>
      <mc:AlternateContent>
        <mc:Choice Requires="wps">
          <w:drawing>
            <wp:anchor distT="0" distB="0" distL="114300" distR="114300" simplePos="0" relativeHeight="251658240" behindDoc="0" locked="0" layoutInCell="1" hidden="0" allowOverlap="1" wp14:anchorId="4AA378C1" wp14:editId="7C5C5A34">
              <wp:simplePos x="0" y="0"/>
              <wp:positionH relativeFrom="column">
                <wp:posOffset>-12063</wp:posOffset>
              </wp:positionH>
              <wp:positionV relativeFrom="paragraph">
                <wp:posOffset>31750</wp:posOffset>
              </wp:positionV>
              <wp:extent cx="0" cy="38100"/>
              <wp:effectExtent l="0" t="0" r="0" b="0"/>
              <wp:wrapNone/>
              <wp:docPr id="41" name="Straight Arrow Connector 41"/>
              <wp:cNvGraphicFramePr/>
              <a:graphic xmlns:a="http://schemas.openxmlformats.org/drawingml/2006/main">
                <a:graphicData uri="http://schemas.microsoft.com/office/word/2010/wordprocessingShape">
                  <wps:wsp>
                    <wps:cNvCnPr/>
                    <wps:spPr>
                      <a:xfrm>
                        <a:off x="2485325" y="3780000"/>
                        <a:ext cx="5721350" cy="0"/>
                      </a:xfrm>
                      <a:prstGeom prst="straightConnector1">
                        <a:avLst/>
                      </a:prstGeom>
                      <a:noFill/>
                      <a:ln w="38100" cap="flat" cmpd="sng">
                        <a:solidFill>
                          <a:srgbClr val="2F3185"/>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-12063</wp:posOffset>
              </wp:positionH>
              <wp:positionV relativeFrom="paragraph">
                <wp:posOffset>31750</wp:posOffset>
              </wp:positionV>
              <wp:extent cx="0" cy="38100"/>
              <wp:effectExtent b="0" l="0" r="0" t="0"/>
              <wp:wrapNone/>
              <wp:docPr id="4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381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18FF" w14:textId="77777777" w:rsidR="00915609" w:rsidRDefault="00915609">
    <w:pPr>
      <w:widowControl w:val="0"/>
      <w:pBdr>
        <w:top w:val="nil"/>
        <w:left w:val="nil"/>
        <w:bottom w:val="nil"/>
        <w:right w:val="nil"/>
        <w:between w:val="nil"/>
      </w:pBdr>
      <w:spacing w:after="0" w:line="276" w:lineRule="auto"/>
      <w:rPr>
        <w:color w:val="000000"/>
      </w:rPr>
    </w:pPr>
  </w:p>
  <w:tbl>
    <w:tblPr>
      <w:tblStyle w:val="a9"/>
      <w:tblW w:w="8951" w:type="dxa"/>
      <w:tblBorders>
        <w:top w:val="single" w:sz="24" w:space="0" w:color="2F3185"/>
        <w:left w:val="single" w:sz="24" w:space="0" w:color="2F3185"/>
        <w:bottom w:val="single" w:sz="24" w:space="0" w:color="2F3185"/>
        <w:right w:val="single" w:sz="24" w:space="0" w:color="2F3185"/>
        <w:insideH w:val="single" w:sz="6" w:space="0" w:color="2F3185"/>
        <w:insideV w:val="single" w:sz="6" w:space="0" w:color="2F3185"/>
      </w:tblBorders>
      <w:tblLayout w:type="fixed"/>
      <w:tblLook w:val="0400" w:firstRow="0" w:lastRow="0" w:firstColumn="0" w:lastColumn="0" w:noHBand="0" w:noVBand="1"/>
    </w:tblPr>
    <w:tblGrid>
      <w:gridCol w:w="1675"/>
      <w:gridCol w:w="7276"/>
    </w:tblGrid>
    <w:tr w:rsidR="00915609" w14:paraId="0FEE8313" w14:textId="77777777">
      <w:tc>
        <w:tcPr>
          <w:tcW w:w="1675" w:type="dxa"/>
        </w:tcPr>
        <w:p w14:paraId="4AB2E7B8" w14:textId="77777777" w:rsidR="00915609" w:rsidRDefault="00361C24" w:rsidP="005D2B6E">
          <w:pPr>
            <w:spacing w:before="240"/>
            <w:rPr>
              <w:rFonts w:ascii="Cambria" w:eastAsia="Cambria" w:hAnsi="Cambria" w:cs="Cambria"/>
              <w:sz w:val="96"/>
              <w:szCs w:val="96"/>
            </w:rPr>
          </w:pPr>
          <w:bookmarkStart w:id="3" w:name="_heading=h.14jgeuc3tl9k" w:colFirst="0" w:colLast="0"/>
          <w:bookmarkEnd w:id="3"/>
          <w:r>
            <w:rPr>
              <w:noProof/>
            </w:rPr>
            <w:drawing>
              <wp:inline distT="0" distB="0" distL="0" distR="0" wp14:anchorId="6E065855" wp14:editId="2894978B">
                <wp:extent cx="943200" cy="640800"/>
                <wp:effectExtent l="0" t="0" r="9525" b="6985"/>
                <wp:docPr id="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43200" cy="640800"/>
                        </a:xfrm>
                        <a:prstGeom prst="rect">
                          <a:avLst/>
                        </a:prstGeom>
                        <a:ln/>
                      </pic:spPr>
                    </pic:pic>
                  </a:graphicData>
                </a:graphic>
              </wp:inline>
            </w:drawing>
          </w:r>
        </w:p>
      </w:tc>
      <w:tc>
        <w:tcPr>
          <w:tcW w:w="7276" w:type="dxa"/>
        </w:tcPr>
        <w:p w14:paraId="4C706C10" w14:textId="565F6CCA" w:rsidR="00915609" w:rsidRDefault="00361C24">
          <w:pPr>
            <w:spacing w:line="240" w:lineRule="auto"/>
            <w:jc w:val="center"/>
            <w:rPr>
              <w:rFonts w:ascii="Cambria" w:eastAsia="Cambria" w:hAnsi="Cambria" w:cs="Cambria"/>
              <w:b/>
              <w:bCs/>
              <w:color w:val="2F3185"/>
              <w:sz w:val="40"/>
              <w:szCs w:val="40"/>
            </w:rPr>
          </w:pPr>
          <w:r>
            <w:rPr>
              <w:rFonts w:ascii="Cambria" w:eastAsia="Cambria" w:hAnsi="Cambria" w:cs="Cambria"/>
              <w:b/>
              <w:bCs/>
              <w:color w:val="2F3185"/>
              <w:sz w:val="40"/>
              <w:szCs w:val="40"/>
            </w:rPr>
            <w:t>PROFESI PENDIDIKAN DASAR</w:t>
          </w:r>
          <w:r>
            <w:rPr>
              <w:rFonts w:ascii="Cambria" w:eastAsia="Cambria" w:hAnsi="Cambria" w:cs="Cambria"/>
              <w:b/>
              <w:bCs/>
              <w:color w:val="2F3185"/>
              <w:sz w:val="40"/>
              <w:szCs w:val="40"/>
            </w:rPr>
            <w:br/>
          </w:r>
          <w:r>
            <w:rPr>
              <w:rFonts w:ascii="Cambria" w:eastAsia="Cambria" w:hAnsi="Cambria" w:cs="Cambria"/>
              <w:b/>
              <w:bCs/>
              <w:color w:val="2F3185"/>
            </w:rPr>
            <w:t xml:space="preserve">Volume xx, Issue x, Month </w:t>
          </w:r>
          <w:proofErr w:type="spellStart"/>
          <w:r>
            <w:rPr>
              <w:rFonts w:ascii="Cambria" w:eastAsia="Cambria" w:hAnsi="Cambria" w:cs="Cambria"/>
              <w:b/>
              <w:bCs/>
              <w:color w:val="2F3185"/>
            </w:rPr>
            <w:t>yyyy</w:t>
          </w:r>
          <w:proofErr w:type="spellEnd"/>
          <w:r>
            <w:rPr>
              <w:rFonts w:ascii="Cambria" w:eastAsia="Cambria" w:hAnsi="Cambria" w:cs="Cambria"/>
              <w:b/>
              <w:bCs/>
              <w:color w:val="2F3185"/>
            </w:rPr>
            <w:t>, pp. pp-</w:t>
          </w:r>
          <w:proofErr w:type="spellStart"/>
          <w:r>
            <w:rPr>
              <w:rFonts w:ascii="Cambria" w:eastAsia="Cambria" w:hAnsi="Cambria" w:cs="Cambria"/>
              <w:b/>
              <w:bCs/>
              <w:color w:val="2F3185"/>
            </w:rPr>
            <w:t>ppp</w:t>
          </w:r>
          <w:proofErr w:type="spellEnd"/>
          <w:r>
            <w:rPr>
              <w:rFonts w:ascii="Cambria" w:eastAsia="Cambria" w:hAnsi="Cambria" w:cs="Cambria"/>
              <w:b/>
              <w:bCs/>
              <w:color w:val="2F3185"/>
            </w:rPr>
            <w:br/>
            <w:t xml:space="preserve">p-ISSN: </w:t>
          </w:r>
          <w:r w:rsidR="00CE08FA" w:rsidRPr="00CE08FA">
            <w:rPr>
              <w:rFonts w:ascii="Cambria" w:eastAsia="Cambria" w:hAnsi="Cambria" w:cs="Cambria"/>
              <w:b/>
              <w:bCs/>
              <w:color w:val="2F3185"/>
            </w:rPr>
            <w:t>2406-8012</w:t>
          </w:r>
          <w:r>
            <w:rPr>
              <w:rFonts w:ascii="Cambria" w:eastAsia="Cambria" w:hAnsi="Cambria" w:cs="Cambria"/>
              <w:b/>
              <w:bCs/>
              <w:color w:val="2F3185"/>
            </w:rPr>
            <w:t xml:space="preserve">, e-ISSN: </w:t>
          </w:r>
          <w:r w:rsidR="00CE08FA" w:rsidRPr="00CE08FA">
            <w:rPr>
              <w:rFonts w:ascii="Cambria" w:eastAsia="Cambria" w:hAnsi="Cambria" w:cs="Cambria"/>
              <w:b/>
              <w:bCs/>
              <w:color w:val="2F3185"/>
            </w:rPr>
            <w:t>2503-3530</w:t>
          </w:r>
          <w:r>
            <w:rPr>
              <w:rFonts w:ascii="Cambria" w:eastAsia="Cambria" w:hAnsi="Cambria" w:cs="Cambria"/>
              <w:b/>
              <w:bCs/>
              <w:color w:val="2F3185"/>
            </w:rPr>
            <w:br/>
          </w:r>
          <w:hyperlink r:id="rId2">
            <w:r>
              <w:rPr>
                <w:rFonts w:ascii="Cambria" w:eastAsia="Cambria" w:hAnsi="Cambria" w:cs="Cambria"/>
                <w:b/>
                <w:bCs/>
                <w:color w:val="2F3185"/>
                <w:u w:val="single"/>
              </w:rPr>
              <w:t>https://journals2.ums.ac.id/index.php/ppd</w:t>
            </w:r>
          </w:hyperlink>
        </w:p>
      </w:tc>
    </w:tr>
  </w:tbl>
  <w:p w14:paraId="4C271A89" w14:textId="77777777" w:rsidR="00915609" w:rsidRDefault="00915609">
    <w:pPr>
      <w:pBdr>
        <w:top w:val="nil"/>
        <w:left w:val="nil"/>
        <w:bottom w:val="nil"/>
        <w:right w:val="nil"/>
        <w:between w:val="nil"/>
      </w:pBdr>
      <w:tabs>
        <w:tab w:val="center" w:pos="4320"/>
        <w:tab w:val="right" w:pos="864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6101"/>
    <w:multiLevelType w:val="multilevel"/>
    <w:tmpl w:val="629A02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609"/>
    <w:rsid w:val="00361C24"/>
    <w:rsid w:val="005D2B6E"/>
    <w:rsid w:val="00915609"/>
    <w:rsid w:val="00CE08FA"/>
    <w:rsid w:val="00FF2D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86EB4"/>
  <w15:docId w15:val="{6251D9D2-ED91-4883-8350-C91C690A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360" w:after="120"/>
      <w:ind w:left="720" w:hanging="720"/>
      <w:outlineLvl w:val="0"/>
    </w:pPr>
    <w:rPr>
      <w:b/>
      <w:bCs/>
    </w:rPr>
  </w:style>
  <w:style w:type="paragraph" w:styleId="Heading2">
    <w:name w:val="heading 2"/>
    <w:basedOn w:val="Normal"/>
    <w:next w:val="Normal"/>
    <w:link w:val="Heading2Char"/>
    <w:uiPriority w:val="9"/>
    <w:semiHidden/>
    <w:unhideWhenUsed/>
    <w:qFormat/>
    <w:pPr>
      <w:keepNext/>
      <w:spacing w:before="240" w:after="120"/>
      <w:ind w:left="720" w:hanging="720"/>
      <w:outlineLvl w:val="1"/>
    </w:pPr>
    <w:rPr>
      <w:b/>
      <w:bCs/>
    </w:rPr>
  </w:style>
  <w:style w:type="paragraph" w:styleId="Heading3">
    <w:name w:val="heading 3"/>
    <w:basedOn w:val="Normal"/>
    <w:next w:val="Normal"/>
    <w:link w:val="Heading3Char"/>
    <w:uiPriority w:val="9"/>
    <w:semiHidden/>
    <w:unhideWhenUsed/>
    <w:qFormat/>
    <w:pPr>
      <w:keepNext/>
      <w:spacing w:before="240" w:after="120"/>
      <w:ind w:left="2160" w:hanging="720"/>
      <w:outlineLvl w:val="2"/>
    </w:pPr>
    <w:rPr>
      <w:b/>
      <w:bCs/>
    </w:rPr>
  </w:style>
  <w:style w:type="paragraph" w:styleId="Heading4">
    <w:name w:val="heading 4"/>
    <w:basedOn w:val="Normal"/>
    <w:next w:val="Normal"/>
    <w:link w:val="Heading4Char"/>
    <w:uiPriority w:val="9"/>
    <w:semiHidden/>
    <w:unhideWhenUsed/>
    <w:qFormat/>
    <w:pPr>
      <w:keepNext/>
      <w:spacing w:before="240" w:after="120"/>
      <w:ind w:left="862" w:hanging="862"/>
      <w:outlineLvl w:val="3"/>
    </w:pPr>
    <w:rPr>
      <w:b/>
      <w:bCs/>
    </w:rPr>
  </w:style>
  <w:style w:type="paragraph" w:styleId="Heading5">
    <w:name w:val="heading 5"/>
    <w:basedOn w:val="Normal"/>
    <w:next w:val="Normal"/>
    <w:link w:val="Heading5Char"/>
    <w:uiPriority w:val="9"/>
    <w:semiHidden/>
    <w:unhideWhenUsed/>
    <w:qFormat/>
    <w:pPr>
      <w:spacing w:before="240" w:after="120"/>
      <w:ind w:left="1009" w:hanging="1009"/>
      <w:outlineLvl w:val="4"/>
    </w:pPr>
    <w:rPr>
      <w:b/>
      <w:bCs/>
    </w:rPr>
  </w:style>
  <w:style w:type="paragraph" w:styleId="Heading6">
    <w:name w:val="heading 6"/>
    <w:basedOn w:val="Normal"/>
    <w:next w:val="Normal"/>
    <w:link w:val="Heading6Char"/>
    <w:uiPriority w:val="9"/>
    <w:semiHidden/>
    <w:unhideWhenUsed/>
    <w:qFormat/>
    <w:pPr>
      <w:spacing w:before="240" w:after="120"/>
      <w:ind w:left="1151" w:hanging="1151"/>
      <w:outlineLvl w:val="5"/>
    </w:pPr>
    <w:rPr>
      <w:b/>
      <w:bCs/>
    </w:rPr>
  </w:style>
  <w:style w:type="paragraph" w:styleId="Heading7">
    <w:name w:val="heading 7"/>
    <w:basedOn w:val="Normal"/>
    <w:next w:val="Normal"/>
    <w:link w:val="Heading7Char"/>
    <w:pPr>
      <w:numPr>
        <w:ilvl w:val="6"/>
        <w:numId w:val="1"/>
      </w:numPr>
      <w:spacing w:before="240" w:after="120"/>
      <w:ind w:left="1298" w:hanging="1298"/>
      <w:outlineLvl w:val="6"/>
    </w:pPr>
    <w:rPr>
      <w:b/>
      <w:szCs w:val="24"/>
    </w:rPr>
  </w:style>
  <w:style w:type="paragraph" w:styleId="Heading8">
    <w:name w:val="heading 8"/>
    <w:basedOn w:val="Normal"/>
    <w:next w:val="Normal"/>
    <w:link w:val="Heading8Char"/>
    <w:pPr>
      <w:numPr>
        <w:ilvl w:val="7"/>
        <w:numId w:val="1"/>
      </w:numPr>
      <w:spacing w:before="240" w:after="120"/>
      <w:outlineLvl w:val="7"/>
    </w:pPr>
    <w:rPr>
      <w:b/>
      <w:iCs/>
      <w:szCs w:val="24"/>
    </w:rPr>
  </w:style>
  <w:style w:type="paragraph" w:styleId="Heading9">
    <w:name w:val="heading 9"/>
    <w:basedOn w:val="Normal"/>
    <w:next w:val="Normal"/>
    <w:link w:val="Heading9Char"/>
    <w:pPr>
      <w:numPr>
        <w:ilvl w:val="8"/>
        <w:numId w:val="1"/>
      </w:numPr>
      <w:spacing w:before="240" w:after="120"/>
      <w:ind w:left="1582" w:hanging="1582"/>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color w:val="0070C0"/>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pPr>
      <w:tabs>
        <w:tab w:val="center" w:pos="4320"/>
        <w:tab w:val="right" w:pos="8640"/>
      </w:tabs>
    </w:pPr>
  </w:style>
  <w:style w:type="paragraph" w:styleId="NormalIndent">
    <w:name w:val="Normal Indent"/>
    <w:basedOn w:val="Normal"/>
    <w:uiPriority w:val="99"/>
    <w:semiHidden/>
    <w:unhideWhenUsed/>
    <w:qFormat/>
    <w:pPr>
      <w:ind w:left="720"/>
    </w:pPr>
  </w:style>
  <w:style w:type="character" w:styleId="Emphasis">
    <w:name w:val="Emphasis"/>
    <w:basedOn w:val="DefaultParagraphFont"/>
    <w:uiPriority w:val="20"/>
    <w:rPr>
      <w:i/>
      <w:iCs/>
    </w:rPr>
  </w:style>
  <w:style w:type="character" w:styleId="Hyperlink">
    <w:name w:val="Hyperlink"/>
    <w:basedOn w:val="DefaultParagraphFont"/>
    <w:uiPriority w:val="99"/>
    <w:unhideWhenUsed/>
    <w:rPr>
      <w:color w:val="0000FF"/>
      <w:u w:val="single"/>
    </w:rPr>
  </w:style>
  <w:style w:type="character" w:styleId="LineNumber">
    <w:name w:val="line number"/>
    <w:basedOn w:val="DefaultParagraphFont"/>
    <w:uiPriority w:val="99"/>
    <w:semiHidden/>
    <w:unhideWhenUsed/>
    <w:qFormat/>
  </w:style>
  <w:style w:type="character" w:styleId="PageNumber">
    <w:name w:val="page number"/>
    <w:basedOn w:val="DefaultParagraphFont"/>
  </w:style>
  <w:style w:type="character" w:styleId="Strong">
    <w:name w:val="Strong"/>
    <w:basedOn w:val="DefaultParagraphFont"/>
    <w:uiPriority w:val="22"/>
    <w:rPr>
      <w:b/>
      <w:bCs/>
    </w:rPr>
  </w:style>
  <w:style w:type="table" w:styleId="TableGrid">
    <w:name w:val="Table Grid"/>
    <w:basedOn w:val="TableNormal"/>
    <w:uiPriority w:val="3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Times New Roman" w:eastAsia="Times New Roman" w:hAnsi="Times New Roman" w:cs="Arial"/>
      <w:b/>
      <w:bCs/>
      <w:kern w:val="32"/>
      <w:sz w:val="24"/>
      <w:szCs w:val="32"/>
      <w:lang w:eastAsia="en-US"/>
    </w:rPr>
  </w:style>
  <w:style w:type="character" w:customStyle="1" w:styleId="Heading2Char">
    <w:name w:val="Heading 2 Char"/>
    <w:basedOn w:val="DefaultParagraphFont"/>
    <w:link w:val="Heading2"/>
    <w:rPr>
      <w:rFonts w:ascii="Times New Roman" w:eastAsia="Times New Roman" w:hAnsi="Times New Roman" w:cs="Arial"/>
      <w:b/>
      <w:bCs/>
      <w:iCs/>
      <w:sz w:val="24"/>
      <w:szCs w:val="28"/>
      <w:lang w:eastAsia="en-US"/>
    </w:rPr>
  </w:style>
  <w:style w:type="character" w:customStyle="1" w:styleId="Heading3Char">
    <w:name w:val="Heading 3 Char"/>
    <w:basedOn w:val="DefaultParagraphFont"/>
    <w:link w:val="Heading3"/>
    <w:qFormat/>
    <w:rPr>
      <w:rFonts w:ascii="Times New Roman" w:eastAsia="Times New Roman" w:hAnsi="Times New Roman" w:cs="Arial"/>
      <w:b/>
      <w:bCs/>
      <w:sz w:val="24"/>
      <w:szCs w:val="26"/>
      <w:lang w:eastAsia="en-US"/>
    </w:rPr>
  </w:style>
  <w:style w:type="character" w:customStyle="1" w:styleId="Heading4Char">
    <w:name w:val="Heading 4 Char"/>
    <w:basedOn w:val="DefaultParagraphFont"/>
    <w:link w:val="Heading4"/>
    <w:qFormat/>
    <w:rPr>
      <w:rFonts w:ascii="Times New Roman" w:eastAsia="Times New Roman" w:hAnsi="Times New Roman" w:cs="Times New Roman"/>
      <w:b/>
      <w:bCs/>
      <w:sz w:val="24"/>
      <w:szCs w:val="28"/>
      <w:lang w:eastAsia="en-US"/>
    </w:rPr>
  </w:style>
  <w:style w:type="character" w:customStyle="1" w:styleId="Heading5Char">
    <w:name w:val="Heading 5 Char"/>
    <w:basedOn w:val="DefaultParagraphFont"/>
    <w:link w:val="Heading5"/>
    <w:rPr>
      <w:rFonts w:ascii="Times New Roman" w:eastAsia="Times New Roman" w:hAnsi="Times New Roman" w:cs="Times New Roman"/>
      <w:b/>
      <w:bCs/>
      <w:iCs/>
      <w:sz w:val="24"/>
      <w:szCs w:val="26"/>
      <w:lang w:eastAsia="en-US"/>
    </w:rPr>
  </w:style>
  <w:style w:type="character" w:customStyle="1" w:styleId="Heading6Char">
    <w:name w:val="Heading 6 Char"/>
    <w:basedOn w:val="DefaultParagraphFont"/>
    <w:link w:val="Heading6"/>
    <w:rPr>
      <w:rFonts w:ascii="Times New Roman" w:eastAsia="Times New Roman" w:hAnsi="Times New Roman" w:cs="Times New Roman"/>
      <w:b/>
      <w:bCs/>
      <w:sz w:val="24"/>
      <w:lang w:eastAsia="en-US"/>
    </w:rPr>
  </w:style>
  <w:style w:type="character" w:customStyle="1" w:styleId="Heading7Char">
    <w:name w:val="Heading 7 Char"/>
    <w:basedOn w:val="DefaultParagraphFont"/>
    <w:link w:val="Heading7"/>
    <w:rPr>
      <w:rFonts w:ascii="Times New Roman" w:eastAsia="Times New Roman" w:hAnsi="Times New Roman" w:cs="Times New Roman"/>
      <w:b/>
      <w:sz w:val="24"/>
      <w:szCs w:val="24"/>
      <w:lang w:eastAsia="en-US"/>
    </w:rPr>
  </w:style>
  <w:style w:type="character" w:customStyle="1" w:styleId="Heading8Char">
    <w:name w:val="Heading 8 Char"/>
    <w:basedOn w:val="DefaultParagraphFont"/>
    <w:link w:val="Heading8"/>
    <w:rPr>
      <w:rFonts w:ascii="Times New Roman" w:eastAsia="Times New Roman" w:hAnsi="Times New Roman" w:cs="Times New Roman"/>
      <w:b/>
      <w:iCs/>
      <w:sz w:val="24"/>
      <w:szCs w:val="24"/>
      <w:lang w:eastAsia="en-US"/>
    </w:rPr>
  </w:style>
  <w:style w:type="character" w:customStyle="1" w:styleId="Heading9Char">
    <w:name w:val="Heading 9 Char"/>
    <w:basedOn w:val="DefaultParagraphFont"/>
    <w:link w:val="Heading9"/>
    <w:rPr>
      <w:rFonts w:ascii="Times New Roman" w:eastAsia="Times New Roman" w:hAnsi="Times New Roman" w:cs="Arial"/>
      <w:b/>
      <w:sz w:val="24"/>
      <w:lang w:eastAsia="en-US"/>
    </w:rPr>
  </w:style>
  <w:style w:type="character" w:customStyle="1" w:styleId="HeaderChar">
    <w:name w:val="Header Char"/>
    <w:basedOn w:val="DefaultParagraphFont"/>
    <w:link w:val="Header"/>
    <w:rPr>
      <w:rFonts w:ascii="Times New Roman" w:eastAsia="Times New Roman" w:hAnsi="Times New Roman" w:cs="Times New Roman"/>
      <w:sz w:val="24"/>
      <w:szCs w:val="20"/>
      <w:lang w:eastAsia="en-US"/>
    </w:rPr>
  </w:style>
  <w:style w:type="character" w:customStyle="1" w:styleId="TitleChar">
    <w:name w:val="Title Char"/>
    <w:basedOn w:val="DefaultParagraphFont"/>
    <w:link w:val="Title"/>
    <w:rsid w:val="00731D67"/>
    <w:rPr>
      <w:rFonts w:asciiTheme="minorHAnsi" w:hAnsiTheme="minorHAnsi"/>
      <w:b/>
      <w:color w:val="0070C0"/>
      <w:sz w:val="24"/>
      <w:szCs w:val="24"/>
      <w:lang w:eastAsia="en-US"/>
    </w:rPr>
  </w:style>
  <w:style w:type="paragraph" w:customStyle="1" w:styleId="AuthorAffiliation">
    <w:name w:val="Author &amp; Affiliation"/>
    <w:basedOn w:val="Normal"/>
    <w:link w:val="AuthorAffiliationChar"/>
    <w:qFormat/>
    <w:pPr>
      <w:autoSpaceDE w:val="0"/>
      <w:autoSpaceDN w:val="0"/>
      <w:adjustRightInd w:val="0"/>
      <w:jc w:val="center"/>
    </w:pPr>
    <w:rPr>
      <w:b/>
      <w:sz w:val="22"/>
      <w:lang w:val="id-ID"/>
    </w:rPr>
  </w:style>
  <w:style w:type="paragraph" w:customStyle="1" w:styleId="AbstractKeywords">
    <w:name w:val="Abstract &amp; Keywords"/>
    <w:basedOn w:val="Normal"/>
    <w:link w:val="AbstractKeywordsChar"/>
    <w:qFormat/>
    <w:rsid w:val="00B35023"/>
    <w:pPr>
      <w:spacing w:after="240"/>
      <w:ind w:left="284" w:right="284"/>
      <w:jc w:val="center"/>
    </w:pPr>
    <w:rPr>
      <w:b/>
      <w:sz w:val="18"/>
    </w:rPr>
  </w:style>
  <w:style w:type="paragraph" w:customStyle="1" w:styleId="Keywords">
    <w:name w:val="Keywords"/>
    <w:basedOn w:val="Normal"/>
    <w:link w:val="KeywordsChar"/>
    <w:pPr>
      <w:spacing w:after="240"/>
      <w:jc w:val="both"/>
    </w:pPr>
    <w:rPr>
      <w:i/>
    </w:rPr>
  </w:style>
  <w:style w:type="paragraph" w:customStyle="1" w:styleId="Text">
    <w:name w:val="Text"/>
    <w:basedOn w:val="Normal"/>
    <w:link w:val="TextChar"/>
    <w:pPr>
      <w:spacing w:after="240" w:line="480" w:lineRule="auto"/>
      <w:jc w:val="both"/>
    </w:pPr>
    <w:rPr>
      <w:rFonts w:ascii="Times New Roman" w:hAnsi="Times New Roman"/>
      <w:sz w:val="24"/>
    </w:rPr>
  </w:style>
  <w:style w:type="paragraph" w:customStyle="1" w:styleId="Address">
    <w:name w:val="Address"/>
    <w:basedOn w:val="Normal"/>
    <w:link w:val="AddressChar"/>
    <w:pPr>
      <w:jc w:val="center"/>
    </w:pPr>
    <w:rPr>
      <w:rFonts w:ascii="Times New Roman" w:hAnsi="Times New Roman"/>
    </w:rPr>
  </w:style>
  <w:style w:type="character" w:customStyle="1" w:styleId="AddressChar">
    <w:name w:val="Address Char"/>
    <w:link w:val="Address"/>
    <w:qFormat/>
    <w:rPr>
      <w:rFonts w:ascii="Times New Roman" w:eastAsia="Times New Roman" w:hAnsi="Times New Roman" w:cs="Times New Roman"/>
      <w:sz w:val="20"/>
      <w:szCs w:val="20"/>
      <w:lang w:eastAsia="en-US"/>
    </w:rPr>
  </w:style>
  <w:style w:type="paragraph" w:customStyle="1" w:styleId="Figure">
    <w:name w:val="Figure"/>
    <w:basedOn w:val="Normal"/>
    <w:qFormat/>
    <w:pPr>
      <w:tabs>
        <w:tab w:val="num" w:pos="720"/>
      </w:tabs>
      <w:spacing w:before="120" w:after="120"/>
      <w:ind w:left="720" w:right="284" w:hanging="720"/>
      <w:jc w:val="both"/>
    </w:pPr>
  </w:style>
  <w:style w:type="paragraph" w:customStyle="1" w:styleId="Enumeration">
    <w:name w:val="Enumeration"/>
    <w:basedOn w:val="Normal"/>
    <w:pPr>
      <w:tabs>
        <w:tab w:val="num" w:pos="720"/>
      </w:tabs>
      <w:spacing w:line="480" w:lineRule="auto"/>
      <w:ind w:left="720" w:hanging="720"/>
      <w:jc w:val="both"/>
    </w:pPr>
    <w:rPr>
      <w:sz w:val="22"/>
      <w:szCs w:val="22"/>
    </w:rPr>
  </w:style>
  <w:style w:type="character" w:customStyle="1" w:styleId="TextChar">
    <w:name w:val="Text Char"/>
    <w:link w:val="Text"/>
    <w:qFormat/>
    <w:rPr>
      <w:rFonts w:ascii="Times New Roman" w:eastAsia="Times New Roman" w:hAnsi="Times New Roman" w:cs="Times New Roman"/>
      <w:sz w:val="24"/>
      <w:lang w:eastAsia="en-US"/>
    </w:rPr>
  </w:style>
  <w:style w:type="paragraph" w:customStyle="1" w:styleId="Table">
    <w:name w:val="Table"/>
    <w:basedOn w:val="Normal"/>
    <w:pPr>
      <w:tabs>
        <w:tab w:val="num" w:pos="720"/>
      </w:tabs>
      <w:spacing w:before="120" w:after="120"/>
      <w:ind w:left="720" w:right="284" w:hanging="720"/>
      <w:jc w:val="both"/>
    </w:pPr>
  </w:style>
  <w:style w:type="paragraph" w:customStyle="1" w:styleId="AuthorHeader">
    <w:name w:val="Author Header"/>
    <w:basedOn w:val="Header"/>
    <w:pPr>
      <w:jc w:val="center"/>
    </w:pPr>
    <w:rPr>
      <w:rFonts w:ascii="Century Gothic" w:hAnsi="Century Gothic"/>
      <w:sz w:val="22"/>
      <w:szCs w:val="22"/>
    </w:rPr>
  </w:style>
  <w:style w:type="paragraph" w:customStyle="1" w:styleId="TitleHeader">
    <w:name w:val="Title Header"/>
    <w:basedOn w:val="Normal"/>
    <w:pPr>
      <w:jc w:val="center"/>
    </w:pPr>
    <w:rPr>
      <w:rFonts w:ascii="Century Gothic" w:hAnsi="Century Gothic"/>
      <w:sz w:val="22"/>
      <w:szCs w:val="22"/>
    </w:rPr>
  </w:style>
  <w:style w:type="paragraph" w:customStyle="1" w:styleId="Acknowledge">
    <w:name w:val="Acknowledge"/>
    <w:basedOn w:val="BodyText"/>
    <w:link w:val="AcknowledgeChar"/>
    <w:pPr>
      <w:spacing w:before="240" w:line="480" w:lineRule="auto"/>
      <w:jc w:val="both"/>
    </w:pPr>
    <w:rPr>
      <w:sz w:val="22"/>
      <w:szCs w:val="22"/>
    </w:rPr>
  </w:style>
  <w:style w:type="paragraph" w:customStyle="1" w:styleId="Gambar">
    <w:name w:val="Gambar"/>
    <w:basedOn w:val="Normal"/>
    <w:pPr>
      <w:tabs>
        <w:tab w:val="num" w:pos="720"/>
        <w:tab w:val="left" w:pos="1361"/>
      </w:tabs>
      <w:spacing w:before="120" w:after="120"/>
      <w:ind w:left="720" w:right="284" w:hanging="720"/>
      <w:jc w:val="both"/>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eastAsia="en-US"/>
    </w:rPr>
  </w:style>
  <w:style w:type="paragraph" w:customStyle="1" w:styleId="Bibliography1">
    <w:name w:val="Bibliography1"/>
    <w:basedOn w:val="Normal"/>
    <w:next w:val="Normal"/>
    <w:link w:val="BibliographyChar"/>
    <w:uiPriority w:val="37"/>
    <w:unhideWhenUsed/>
    <w:rsid w:val="00716902"/>
    <w:rPr>
      <w:rFonts w:asciiTheme="minorHAnsi" w:hAnsiTheme="minorHAnsi"/>
    </w:rPr>
  </w:style>
  <w:style w:type="paragraph" w:customStyle="1" w:styleId="RujukanReferences">
    <w:name w:val="Rujukan/References"/>
    <w:basedOn w:val="Normal"/>
    <w:link w:val="RujukanReferencesChar"/>
    <w:pPr>
      <w:spacing w:after="240"/>
      <w:ind w:left="720" w:hanging="720"/>
    </w:pPr>
    <w:rPr>
      <w:rFonts w:ascii="Times New Roman" w:hAnsi="Times New Roman"/>
    </w:rPr>
  </w:style>
  <w:style w:type="character" w:customStyle="1" w:styleId="BibliographyChar">
    <w:name w:val="Bibliography Char"/>
    <w:basedOn w:val="DefaultParagraphFont"/>
    <w:link w:val="Bibliography1"/>
    <w:uiPriority w:val="37"/>
    <w:qFormat/>
    <w:rsid w:val="00716902"/>
    <w:rPr>
      <w:rFonts w:asciiTheme="minorHAnsi" w:hAnsiTheme="minorHAnsi"/>
      <w:lang w:val="en-US" w:eastAsia="en-US"/>
    </w:rPr>
  </w:style>
  <w:style w:type="character" w:customStyle="1" w:styleId="RujukanReferencesChar">
    <w:name w:val="Rujukan/References Char"/>
    <w:basedOn w:val="BibliographyChar"/>
    <w:link w:val="RujukanReferences"/>
    <w:qFormat/>
    <w:rPr>
      <w:rFonts w:ascii="Times New Roman" w:eastAsia="Times New Roman" w:hAnsi="Times New Roman" w:cs="Times New Roman"/>
      <w:sz w:val="24"/>
      <w:szCs w:val="20"/>
      <w:lang w:val="en-US" w:eastAsia="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0"/>
      <w:lang w:eastAsia="en-US"/>
    </w:rPr>
  </w:style>
  <w:style w:type="paragraph" w:customStyle="1" w:styleId="EmailPhone">
    <w:name w:val="Email &amp; Phone"/>
    <w:basedOn w:val="Normal"/>
    <w:link w:val="EmailPhoneChar"/>
    <w:qFormat/>
    <w:pPr>
      <w:contextualSpacing/>
      <w:jc w:val="center"/>
    </w:pPr>
    <w:rPr>
      <w:sz w:val="22"/>
    </w:rPr>
  </w:style>
  <w:style w:type="paragraph" w:customStyle="1" w:styleId="IsiAbstrakKeywords">
    <w:name w:val="Isi Abstrak &amp; Keywords"/>
    <w:basedOn w:val="AbstractKeywords"/>
    <w:link w:val="IsiAbstrakKeywordsChar"/>
    <w:qFormat/>
    <w:rsid w:val="00B35023"/>
    <w:pPr>
      <w:spacing w:after="0"/>
      <w:ind w:left="0" w:right="-29"/>
      <w:jc w:val="both"/>
    </w:pPr>
    <w:rPr>
      <w:rFonts w:asciiTheme="minorHAnsi" w:hAnsiTheme="minorHAnsi"/>
      <w:b w:val="0"/>
      <w:i/>
      <w:lang w:val="id-ID" w:eastAsia="id-ID"/>
    </w:rPr>
  </w:style>
  <w:style w:type="character" w:customStyle="1" w:styleId="EmailPhoneChar">
    <w:name w:val="Email &amp; Phone Char"/>
    <w:basedOn w:val="DefaultParagraphFont"/>
    <w:link w:val="EmailPhone"/>
    <w:qFormat/>
    <w:rPr>
      <w:rFonts w:eastAsia="Times New Roman" w:cs="Times New Roman"/>
      <w:szCs w:val="20"/>
      <w:lang w:eastAsia="en-US"/>
    </w:rPr>
  </w:style>
  <w:style w:type="paragraph" w:customStyle="1" w:styleId="KataKuncikeywords">
    <w:name w:val="Kata Kunci/keywords"/>
    <w:basedOn w:val="Keywords"/>
    <w:link w:val="KataKuncikeywordsChar"/>
    <w:pPr>
      <w:jc w:val="left"/>
    </w:pPr>
    <w:rPr>
      <w:sz w:val="22"/>
    </w:rPr>
  </w:style>
  <w:style w:type="character" w:customStyle="1" w:styleId="AbstractKeywordsChar">
    <w:name w:val="Abstract &amp; Keywords Char"/>
    <w:basedOn w:val="DefaultParagraphFont"/>
    <w:link w:val="AbstractKeywords"/>
    <w:rsid w:val="00B35023"/>
    <w:rPr>
      <w:b/>
      <w:sz w:val="18"/>
      <w:lang w:val="en-US" w:eastAsia="en-US"/>
    </w:rPr>
  </w:style>
  <w:style w:type="character" w:customStyle="1" w:styleId="IsiAbstrakKeywordsChar">
    <w:name w:val="Isi Abstrak &amp; Keywords Char"/>
    <w:basedOn w:val="AbstractKeywordsChar"/>
    <w:link w:val="IsiAbstrakKeywords"/>
    <w:qFormat/>
    <w:rsid w:val="00B35023"/>
    <w:rPr>
      <w:rFonts w:asciiTheme="minorHAnsi" w:hAnsiTheme="minorHAnsi"/>
      <w:b w:val="0"/>
      <w:i/>
      <w:sz w:val="18"/>
      <w:lang w:val="en-US" w:eastAsia="en-US"/>
    </w:rPr>
  </w:style>
  <w:style w:type="paragraph" w:customStyle="1" w:styleId="MainText">
    <w:name w:val="Main Text"/>
    <w:basedOn w:val="Text"/>
    <w:link w:val="MainTextChar"/>
    <w:qFormat/>
    <w:rsid w:val="0013445E"/>
    <w:pPr>
      <w:spacing w:after="0" w:line="240" w:lineRule="auto"/>
      <w:ind w:firstLine="284"/>
    </w:pPr>
    <w:rPr>
      <w:rFonts w:asciiTheme="minorHAnsi" w:hAnsiTheme="minorHAnsi" w:cs="Arial"/>
      <w:sz w:val="20"/>
      <w:szCs w:val="16"/>
      <w:lang w:val="id-ID"/>
    </w:rPr>
  </w:style>
  <w:style w:type="character" w:customStyle="1" w:styleId="KeywordsChar">
    <w:name w:val="Keywords Char"/>
    <w:basedOn w:val="DefaultParagraphFont"/>
    <w:link w:val="Keywords"/>
    <w:qFormat/>
    <w:rPr>
      <w:rFonts w:ascii="Times New Roman" w:eastAsia="Times New Roman" w:hAnsi="Times New Roman" w:cs="Times New Roman"/>
      <w:i/>
      <w:sz w:val="20"/>
      <w:szCs w:val="20"/>
      <w:lang w:eastAsia="en-US"/>
    </w:rPr>
  </w:style>
  <w:style w:type="character" w:customStyle="1" w:styleId="KataKuncikeywordsChar">
    <w:name w:val="Kata Kunci/keywords Char"/>
    <w:basedOn w:val="KeywordsChar"/>
    <w:link w:val="KataKuncikeywords"/>
    <w:qFormat/>
    <w:rPr>
      <w:rFonts w:ascii="Times New Roman" w:eastAsia="Times New Roman" w:hAnsi="Times New Roman" w:cs="Times New Roman"/>
      <w:i w:val="0"/>
      <w:sz w:val="20"/>
      <w:szCs w:val="20"/>
      <w:lang w:eastAsia="en-US"/>
    </w:rPr>
  </w:style>
  <w:style w:type="paragraph" w:customStyle="1" w:styleId="JudulGambarpicturetitle">
    <w:name w:val="Judul Gambar/picture title"/>
    <w:basedOn w:val="NormalIndent"/>
    <w:link w:val="JudulGambarpicturetitleChar"/>
    <w:pPr>
      <w:jc w:val="center"/>
    </w:pPr>
    <w:rPr>
      <w:b/>
      <w:szCs w:val="22"/>
    </w:rPr>
  </w:style>
  <w:style w:type="character" w:customStyle="1" w:styleId="MainTextChar">
    <w:name w:val="Main Text Char"/>
    <w:basedOn w:val="TextChar"/>
    <w:link w:val="MainText"/>
    <w:qFormat/>
    <w:rsid w:val="0013445E"/>
    <w:rPr>
      <w:rFonts w:asciiTheme="minorHAnsi" w:eastAsia="Times New Roman" w:hAnsiTheme="minorHAnsi" w:cs="Arial"/>
      <w:sz w:val="24"/>
      <w:szCs w:val="16"/>
      <w:lang w:eastAsia="en-US"/>
    </w:rPr>
  </w:style>
  <w:style w:type="paragraph" w:customStyle="1" w:styleId="Captionketerangangambar">
    <w:name w:val="Caption/keterangan gambar"/>
    <w:basedOn w:val="Normal"/>
    <w:link w:val="CaptionketerangangambarChar"/>
    <w:pPr>
      <w:jc w:val="center"/>
    </w:pPr>
    <w:rPr>
      <w:szCs w:val="22"/>
    </w:rPr>
  </w:style>
  <w:style w:type="character" w:customStyle="1" w:styleId="JudulGambarpicturetitleChar">
    <w:name w:val="Judul Gambar/picture title Char"/>
    <w:basedOn w:val="DefaultParagraphFont"/>
    <w:link w:val="JudulGambarpicturetitle"/>
    <w:qFormat/>
    <w:rPr>
      <w:rFonts w:eastAsia="Times New Roman" w:cs="Times New Roman"/>
      <w:b/>
      <w:sz w:val="20"/>
      <w:lang w:eastAsia="en-US"/>
    </w:rPr>
  </w:style>
  <w:style w:type="character" w:customStyle="1" w:styleId="CaptionketerangangambarChar">
    <w:name w:val="Caption/keterangan gambar Char"/>
    <w:basedOn w:val="DefaultParagraphFont"/>
    <w:link w:val="Captionketerangangambar"/>
    <w:rPr>
      <w:szCs w:val="22"/>
    </w:rPr>
  </w:style>
  <w:style w:type="paragraph" w:customStyle="1" w:styleId="Subjudul">
    <w:name w:val="Subjudul"/>
    <w:basedOn w:val="BodyText"/>
    <w:qFormat/>
    <w:rsid w:val="0059295C"/>
    <w:pPr>
      <w:spacing w:before="240" w:after="0"/>
    </w:pPr>
    <w:rPr>
      <w:rFonts w:asciiTheme="minorHAnsi" w:hAnsiTheme="minorHAnsi"/>
      <w:b/>
      <w:color w:val="0070C0"/>
      <w:lang w:val="id-ID"/>
    </w:rPr>
  </w:style>
  <w:style w:type="character" w:customStyle="1" w:styleId="BodyTextChar">
    <w:name w:val="Body Text Char"/>
    <w:basedOn w:val="DefaultParagraphFont"/>
    <w:link w:val="BodyText"/>
    <w:uiPriority w:val="99"/>
    <w:semiHidden/>
    <w:qFormat/>
    <w:rPr>
      <w:rFonts w:ascii="Times New Roman" w:eastAsia="Times New Roman" w:hAnsi="Times New Roman" w:cs="Times New Roman"/>
      <w:sz w:val="24"/>
      <w:szCs w:val="20"/>
      <w:lang w:eastAsia="en-US"/>
    </w:rPr>
  </w:style>
  <w:style w:type="paragraph" w:customStyle="1" w:styleId="Daftarisi">
    <w:name w:val="Daftar isi"/>
    <w:basedOn w:val="RujukanReferences"/>
    <w:link w:val="DaftarisiChar"/>
    <w:rPr>
      <w:b/>
    </w:rPr>
  </w:style>
  <w:style w:type="character" w:customStyle="1" w:styleId="DaftarisiChar">
    <w:name w:val="Daftar isi Char"/>
    <w:basedOn w:val="RujukanReferencesChar"/>
    <w:link w:val="Daftarisi"/>
    <w:qFormat/>
    <w:rPr>
      <w:rFonts w:ascii="Times New Roman" w:eastAsia="Times New Roman" w:hAnsi="Times New Roman" w:cs="Times New Roman"/>
      <w:b/>
      <w:sz w:val="24"/>
      <w:szCs w:val="20"/>
      <w:lang w:val="en-US" w:eastAsia="en-US"/>
    </w:rPr>
  </w:style>
  <w:style w:type="character" w:customStyle="1" w:styleId="AuthorAffiliationChar">
    <w:name w:val="Author &amp; Affiliation Char"/>
    <w:basedOn w:val="DefaultParagraphFont"/>
    <w:link w:val="AuthorAffiliation"/>
    <w:qFormat/>
    <w:rPr>
      <w:rFonts w:eastAsia="Times New Roman" w:cs="Times New Roman"/>
      <w:b/>
      <w:szCs w:val="20"/>
      <w:lang w:val="id-ID" w:eastAsia="en-US"/>
    </w:rPr>
  </w:style>
  <w:style w:type="character" w:customStyle="1" w:styleId="AcknowledgeChar">
    <w:name w:val="Acknowledge Char"/>
    <w:basedOn w:val="BodyTextChar"/>
    <w:link w:val="Acknowledge"/>
    <w:qFormat/>
    <w:rPr>
      <w:rFonts w:ascii="Times New Roman" w:eastAsia="Times New Roman" w:hAnsi="Times New Roman" w:cs="Times New Roman"/>
      <w:sz w:val="24"/>
      <w:szCs w:val="20"/>
      <w:lang w:eastAsia="en-US"/>
    </w:rPr>
  </w:style>
  <w:style w:type="paragraph" w:styleId="ListParagraph">
    <w:name w:val="List Paragraph"/>
    <w:aliases w:val="Body of text,List Paragraph1"/>
    <w:basedOn w:val="Normal"/>
    <w:link w:val="ListParagraphChar"/>
    <w:uiPriority w:val="34"/>
    <w:pPr>
      <w:ind w:left="720"/>
      <w:contextualSpacing/>
    </w:pPr>
    <w:rPr>
      <w:rFonts w:ascii="Times New Roman" w:hAnsi="Times New Roman"/>
      <w:sz w:val="24"/>
      <w:szCs w:val="24"/>
    </w:rPr>
  </w:style>
  <w:style w:type="paragraph" w:customStyle="1" w:styleId="AffiliationAfiliasi">
    <w:name w:val="Affiliation/Afiliasi"/>
    <w:basedOn w:val="Normal"/>
    <w:link w:val="AffiliationAfiliasiChar"/>
    <w:pPr>
      <w:autoSpaceDE w:val="0"/>
      <w:autoSpaceDN w:val="0"/>
      <w:adjustRightInd w:val="0"/>
      <w:jc w:val="center"/>
    </w:pPr>
    <w:rPr>
      <w:b/>
      <w:lang w:val="id-ID"/>
    </w:rPr>
  </w:style>
  <w:style w:type="paragraph" w:customStyle="1" w:styleId="AddressAlamat">
    <w:name w:val="Address/Alamat"/>
    <w:basedOn w:val="EmailPhone"/>
    <w:link w:val="AddressAlamatChar"/>
    <w:rPr>
      <w:lang w:val="id-ID"/>
    </w:rPr>
  </w:style>
  <w:style w:type="character" w:customStyle="1" w:styleId="AffiliationAfiliasiChar">
    <w:name w:val="Affiliation/Afiliasi Char"/>
    <w:basedOn w:val="DefaultParagraphFont"/>
    <w:link w:val="AffiliationAfiliasi"/>
    <w:qFormat/>
    <w:rPr>
      <w:rFonts w:eastAsia="Times New Roman" w:cs="Times New Roman"/>
      <w:b/>
      <w:sz w:val="20"/>
      <w:szCs w:val="20"/>
      <w:lang w:val="id-ID" w:eastAsia="en-US"/>
    </w:rPr>
  </w:style>
  <w:style w:type="paragraph" w:customStyle="1" w:styleId="SubSubjudul">
    <w:name w:val="SubSubjudul"/>
    <w:basedOn w:val="Normal"/>
    <w:link w:val="SubSubjudulChar"/>
    <w:qFormat/>
    <w:rsid w:val="00AB02EE"/>
    <w:pPr>
      <w:spacing w:before="120" w:after="0"/>
      <w:ind w:left="425" w:hanging="425"/>
      <w:jc w:val="both"/>
    </w:pPr>
    <w:rPr>
      <w:b/>
      <w:color w:val="0070C0"/>
      <w:szCs w:val="22"/>
    </w:rPr>
  </w:style>
  <w:style w:type="character" w:customStyle="1" w:styleId="AddressAlamatChar">
    <w:name w:val="Address/Alamat Char"/>
    <w:basedOn w:val="EmailPhoneChar"/>
    <w:link w:val="AddressAlamat"/>
    <w:rPr>
      <w:rFonts w:eastAsia="Times New Roman" w:cs="Times New Roman"/>
      <w:szCs w:val="20"/>
      <w:lang w:val="id-ID" w:eastAsia="en-US"/>
    </w:rPr>
  </w:style>
  <w:style w:type="character" w:customStyle="1" w:styleId="SubSubjudulChar">
    <w:name w:val="SubSubjudul Char"/>
    <w:basedOn w:val="DefaultParagraphFont"/>
    <w:link w:val="SubSubjudul"/>
    <w:qFormat/>
    <w:rsid w:val="00AB02EE"/>
    <w:rPr>
      <w:b/>
      <w:color w:val="0070C0"/>
      <w:szCs w:val="22"/>
      <w:lang w:val="en-US" w:eastAsia="en-US"/>
    </w:rPr>
  </w:style>
  <w:style w:type="character" w:customStyle="1" w:styleId="ListParagraphChar">
    <w:name w:val="List Paragraph Char"/>
    <w:aliases w:val="Body of text Char,List Paragraph1 Char"/>
    <w:link w:val="ListParagraph"/>
    <w:uiPriority w:val="34"/>
    <w:locked/>
    <w:rPr>
      <w:rFonts w:ascii="Times New Roman" w:hAnsi="Times New Roman"/>
      <w:sz w:val="24"/>
      <w:szCs w:val="24"/>
      <w:lang w:val="en-US" w:eastAsia="en-US"/>
    </w:rPr>
  </w:style>
  <w:style w:type="paragraph" w:customStyle="1" w:styleId="DirectQuotation">
    <w:name w:val="Direct Quotation"/>
    <w:basedOn w:val="Normal"/>
    <w:link w:val="DirectQuotationChar"/>
    <w:pPr>
      <w:tabs>
        <w:tab w:val="left" w:pos="8364"/>
      </w:tabs>
      <w:spacing w:before="240"/>
      <w:ind w:left="709" w:right="521"/>
      <w:jc w:val="both"/>
    </w:pPr>
    <w:rPr>
      <w:i/>
      <w:iCs/>
    </w:rPr>
  </w:style>
  <w:style w:type="paragraph" w:customStyle="1" w:styleId="Subjudulsubtitle">
    <w:name w:val="Subjudul/subtitle"/>
    <w:basedOn w:val="BodyText"/>
    <w:pPr>
      <w:spacing w:before="240"/>
    </w:pPr>
    <w:rPr>
      <w:b/>
      <w:color w:val="0070C0"/>
      <w:sz w:val="22"/>
    </w:rPr>
  </w:style>
  <w:style w:type="character" w:customStyle="1" w:styleId="DirectQuotationChar">
    <w:name w:val="Direct Quotation Char"/>
    <w:basedOn w:val="DefaultParagraphFont"/>
    <w:link w:val="DirectQuotation"/>
    <w:rPr>
      <w:rFonts w:cs="Calibri"/>
      <w:i/>
      <w:iCs/>
      <w:lang w:val="en-US" w:eastAsia="en-US"/>
    </w:rPr>
  </w:style>
  <w:style w:type="paragraph" w:styleId="CommentText">
    <w:name w:val="annotation text"/>
    <w:basedOn w:val="Normal"/>
    <w:link w:val="CommentTextChar"/>
    <w:uiPriority w:val="99"/>
    <w:semiHidden/>
    <w:unhideWhenUsed/>
    <w:rsid w:val="008542FF"/>
    <w:rPr>
      <w:rFonts w:asciiTheme="minorHAnsi" w:eastAsiaTheme="minorHAnsi" w:hAnsiTheme="minorHAnsi" w:cstheme="minorBidi"/>
      <w:sz w:val="22"/>
      <w:szCs w:val="22"/>
      <w:lang w:val="id-ID"/>
    </w:rPr>
  </w:style>
  <w:style w:type="character" w:customStyle="1" w:styleId="CommentTextChar">
    <w:name w:val="Comment Text Char"/>
    <w:basedOn w:val="DefaultParagraphFont"/>
    <w:link w:val="CommentText"/>
    <w:uiPriority w:val="99"/>
    <w:semiHidden/>
    <w:rsid w:val="008542FF"/>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8542FF"/>
    <w:rPr>
      <w:sz w:val="16"/>
      <w:szCs w:val="16"/>
    </w:rPr>
  </w:style>
  <w:style w:type="paragraph" w:styleId="Revision">
    <w:name w:val="Revision"/>
    <w:hidden/>
    <w:uiPriority w:val="99"/>
    <w:semiHidden/>
    <w:rsid w:val="00CB63F0"/>
    <w:pPr>
      <w:spacing w:after="0" w:line="240" w:lineRule="auto"/>
    </w:pPr>
  </w:style>
  <w:style w:type="paragraph" w:styleId="CommentSubject">
    <w:name w:val="annotation subject"/>
    <w:basedOn w:val="CommentText"/>
    <w:next w:val="CommentText"/>
    <w:link w:val="CommentSubjectChar"/>
    <w:uiPriority w:val="99"/>
    <w:semiHidden/>
    <w:unhideWhenUsed/>
    <w:rsid w:val="009C281C"/>
    <w:pPr>
      <w:spacing w:line="240" w:lineRule="auto"/>
    </w:pPr>
    <w:rPr>
      <w:rFonts w:ascii="Calibri" w:eastAsia="Times New Roman" w:hAnsi="Calibri" w:cs="Times New Roman"/>
      <w:b/>
      <w:bCs/>
      <w:sz w:val="20"/>
      <w:szCs w:val="20"/>
      <w:lang w:val="en-US"/>
    </w:rPr>
  </w:style>
  <w:style w:type="character" w:customStyle="1" w:styleId="CommentSubjectChar">
    <w:name w:val="Comment Subject Char"/>
    <w:basedOn w:val="CommentTextChar"/>
    <w:link w:val="CommentSubject"/>
    <w:uiPriority w:val="99"/>
    <w:semiHidden/>
    <w:rsid w:val="009C281C"/>
    <w:rPr>
      <w:rFonts w:asciiTheme="minorHAnsi" w:eastAsiaTheme="minorHAnsi" w:hAnsiTheme="minorHAnsi" w:cstheme="minorBidi"/>
      <w:b/>
      <w:bCs/>
      <w:sz w:val="22"/>
      <w:szCs w:val="22"/>
      <w:lang w:val="en-US" w:eastAsia="en-US"/>
    </w:rPr>
  </w:style>
  <w:style w:type="character" w:customStyle="1" w:styleId="fontstyle01">
    <w:name w:val="fontstyle01"/>
    <w:basedOn w:val="DefaultParagraphFont"/>
    <w:rsid w:val="0013445E"/>
    <w:rPr>
      <w:rFonts w:ascii="Times-Roman" w:hAnsi="Times-Roman" w:hint="default"/>
      <w:b w:val="0"/>
      <w:bCs w:val="0"/>
      <w:i w:val="0"/>
      <w:iCs w:val="0"/>
      <w:color w:val="000000"/>
      <w:sz w:val="24"/>
      <w:szCs w:val="24"/>
    </w:rPr>
  </w:style>
  <w:style w:type="paragraph" w:customStyle="1" w:styleId="Sub-SubJudul">
    <w:name w:val="Sub-Sub Judul"/>
    <w:basedOn w:val="Normal"/>
    <w:rsid w:val="005817A8"/>
    <w:pPr>
      <w:spacing w:before="120" w:after="120" w:line="240" w:lineRule="auto"/>
    </w:pPr>
    <w:rPr>
      <w:rFonts w:asciiTheme="minorHAnsi" w:hAnsiTheme="minorHAnsi"/>
      <w:bCs/>
      <w:i/>
      <w:color w:val="0070C0"/>
      <w:lang w:eastAsia="id-ID"/>
    </w:rPr>
  </w:style>
  <w:style w:type="paragraph" w:customStyle="1" w:styleId="PublicationDOI">
    <w:name w:val="Publication &amp; DOI"/>
    <w:basedOn w:val="Normal"/>
    <w:rsid w:val="00B35023"/>
    <w:pPr>
      <w:spacing w:after="0"/>
    </w:pPr>
    <w:rPr>
      <w:rFonts w:asciiTheme="minorHAnsi" w:hAnsiTheme="minorHAnsi" w:cstheme="minorHAnsi"/>
      <w:sz w:val="18"/>
      <w:szCs w:val="18"/>
    </w:rPr>
  </w:style>
  <w:style w:type="paragraph" w:customStyle="1" w:styleId="DirectQuotation2">
    <w:name w:val="Direct Quotation2"/>
    <w:basedOn w:val="Normal"/>
    <w:link w:val="DirectQuotation2Char"/>
    <w:qFormat/>
    <w:rsid w:val="00CC14B5"/>
    <w:pPr>
      <w:spacing w:after="0" w:line="240" w:lineRule="auto"/>
      <w:ind w:left="1134" w:right="1088" w:hanging="52"/>
      <w:jc w:val="both"/>
    </w:pPr>
    <w:rPr>
      <w:rFonts w:asciiTheme="minorHAnsi" w:hAnsiTheme="minorHAnsi"/>
      <w:lang w:eastAsia="id-ID"/>
    </w:rPr>
  </w:style>
  <w:style w:type="paragraph" w:customStyle="1" w:styleId="TableFigureTitle">
    <w:name w:val="Table &amp; Figure Title"/>
    <w:basedOn w:val="Normal"/>
    <w:link w:val="TableFigureTitleChar"/>
    <w:qFormat/>
    <w:rsid w:val="00E667BF"/>
    <w:pPr>
      <w:spacing w:after="0" w:line="240" w:lineRule="auto"/>
      <w:ind w:hanging="30"/>
      <w:jc w:val="center"/>
    </w:pPr>
    <w:rPr>
      <w:rFonts w:asciiTheme="minorHAnsi" w:eastAsiaTheme="minorEastAsia" w:hAnsiTheme="minorHAnsi" w:cstheme="minorHAnsi"/>
      <w:lang w:eastAsia="id-ID"/>
    </w:rPr>
  </w:style>
  <w:style w:type="character" w:customStyle="1" w:styleId="DirectQuotation2Char">
    <w:name w:val="Direct Quotation2 Char"/>
    <w:basedOn w:val="DefaultParagraphFont"/>
    <w:link w:val="DirectQuotation2"/>
    <w:rsid w:val="00CC14B5"/>
    <w:rPr>
      <w:rFonts w:asciiTheme="minorHAnsi" w:hAnsiTheme="minorHAnsi"/>
      <w:lang w:val="en-US"/>
    </w:rPr>
  </w:style>
  <w:style w:type="paragraph" w:customStyle="1" w:styleId="TableStyle">
    <w:name w:val="Table Style"/>
    <w:basedOn w:val="ListParagraph"/>
    <w:link w:val="TableStyleChar"/>
    <w:qFormat/>
    <w:rsid w:val="00967087"/>
    <w:pPr>
      <w:spacing w:after="0" w:line="240" w:lineRule="auto"/>
      <w:ind w:left="0" w:firstLine="45"/>
    </w:pPr>
    <w:rPr>
      <w:rFonts w:asciiTheme="minorHAnsi" w:eastAsiaTheme="minorEastAsia" w:hAnsiTheme="minorHAnsi" w:cstheme="minorHAnsi"/>
      <w:sz w:val="20"/>
      <w:szCs w:val="20"/>
      <w:lang w:eastAsia="id-ID"/>
    </w:rPr>
  </w:style>
  <w:style w:type="character" w:customStyle="1" w:styleId="TableFigureTitleChar">
    <w:name w:val="Table &amp; Figure Title Char"/>
    <w:basedOn w:val="DefaultParagraphFont"/>
    <w:link w:val="TableFigureTitle"/>
    <w:rsid w:val="00E667BF"/>
    <w:rPr>
      <w:rFonts w:asciiTheme="minorHAnsi" w:eastAsiaTheme="minorEastAsia" w:hAnsiTheme="minorHAnsi" w:cstheme="minorHAnsi"/>
      <w:lang w:val="en-US"/>
    </w:rPr>
  </w:style>
  <w:style w:type="paragraph" w:customStyle="1" w:styleId="SubSubSubJudul">
    <w:name w:val="SubSubSubJudul"/>
    <w:basedOn w:val="Normal"/>
    <w:link w:val="SubSubSubJudulChar"/>
    <w:qFormat/>
    <w:rsid w:val="00CC14B5"/>
    <w:pPr>
      <w:spacing w:before="120" w:after="120" w:line="240" w:lineRule="auto"/>
      <w:jc w:val="both"/>
    </w:pPr>
    <w:rPr>
      <w:rFonts w:asciiTheme="minorHAnsi" w:hAnsiTheme="minorHAnsi"/>
      <w:b/>
      <w:lang w:eastAsia="id-ID"/>
    </w:rPr>
  </w:style>
  <w:style w:type="character" w:customStyle="1" w:styleId="TableStyleChar">
    <w:name w:val="Table Style Char"/>
    <w:basedOn w:val="ListParagraphChar"/>
    <w:link w:val="TableStyle"/>
    <w:rsid w:val="00967087"/>
    <w:rPr>
      <w:rFonts w:asciiTheme="minorHAnsi" w:eastAsiaTheme="minorEastAsia" w:hAnsiTheme="minorHAnsi" w:cstheme="minorHAnsi"/>
      <w:sz w:val="24"/>
      <w:szCs w:val="24"/>
      <w:lang w:val="en-US" w:eastAsia="en-US"/>
    </w:rPr>
  </w:style>
  <w:style w:type="paragraph" w:customStyle="1" w:styleId="References">
    <w:name w:val="References"/>
    <w:basedOn w:val="Normal"/>
    <w:link w:val="ReferencesChar"/>
    <w:qFormat/>
    <w:rsid w:val="00AF1385"/>
    <w:pPr>
      <w:widowControl w:val="0"/>
      <w:autoSpaceDE w:val="0"/>
      <w:autoSpaceDN w:val="0"/>
      <w:adjustRightInd w:val="0"/>
      <w:spacing w:after="0" w:line="240" w:lineRule="atLeast"/>
      <w:ind w:left="480" w:hanging="480"/>
      <w:jc w:val="both"/>
    </w:pPr>
    <w:rPr>
      <w:rFonts w:asciiTheme="minorHAnsi" w:hAnsiTheme="minorHAnsi" w:cstheme="minorHAnsi"/>
      <w:lang w:eastAsia="id-ID"/>
    </w:rPr>
  </w:style>
  <w:style w:type="character" w:customStyle="1" w:styleId="SubSubSubJudulChar">
    <w:name w:val="SubSubSubJudul Char"/>
    <w:basedOn w:val="DefaultParagraphFont"/>
    <w:link w:val="SubSubSubJudul"/>
    <w:rsid w:val="00CC14B5"/>
    <w:rPr>
      <w:rFonts w:asciiTheme="minorHAnsi" w:hAnsiTheme="minorHAnsi"/>
      <w:b/>
      <w:lang w:val="en-US"/>
    </w:rPr>
  </w:style>
  <w:style w:type="character" w:styleId="SubtleEmphasis">
    <w:name w:val="Subtle Emphasis"/>
    <w:aliases w:val="Publication Info &amp; DOI"/>
    <w:basedOn w:val="DefaultParagraphFont"/>
    <w:uiPriority w:val="19"/>
    <w:qFormat/>
    <w:rsid w:val="00731D67"/>
    <w:rPr>
      <w:rFonts w:asciiTheme="minorHAnsi" w:hAnsiTheme="minorHAnsi"/>
      <w:i w:val="0"/>
      <w:iCs/>
      <w:color w:val="auto"/>
      <w:sz w:val="18"/>
    </w:rPr>
  </w:style>
  <w:style w:type="character" w:customStyle="1" w:styleId="ReferencesChar">
    <w:name w:val="References Char"/>
    <w:basedOn w:val="DefaultParagraphFont"/>
    <w:link w:val="References"/>
    <w:rsid w:val="00AF1385"/>
    <w:rPr>
      <w:rFonts w:asciiTheme="minorHAnsi" w:hAnsiTheme="minorHAnsi" w:cstheme="minorHAnsi"/>
      <w:lang w:val="en-US"/>
    </w:rPr>
  </w:style>
  <w:style w:type="paragraph" w:styleId="FootnoteText">
    <w:name w:val="footnote text"/>
    <w:basedOn w:val="Normal"/>
    <w:link w:val="FootnoteTextChar"/>
    <w:uiPriority w:val="99"/>
    <w:semiHidden/>
    <w:unhideWhenUsed/>
    <w:rsid w:val="00731D67"/>
    <w:pPr>
      <w:spacing w:after="0" w:line="240" w:lineRule="auto"/>
    </w:pPr>
    <w:rPr>
      <w:rFonts w:asciiTheme="minorHAnsi" w:eastAsiaTheme="minorHAnsi" w:hAnsiTheme="minorHAnsi" w:cstheme="minorBidi"/>
      <w:lang w:val="tr-TR"/>
    </w:rPr>
  </w:style>
  <w:style w:type="character" w:customStyle="1" w:styleId="FootnoteTextChar">
    <w:name w:val="Footnote Text Char"/>
    <w:basedOn w:val="DefaultParagraphFont"/>
    <w:link w:val="FootnoteText"/>
    <w:uiPriority w:val="99"/>
    <w:semiHidden/>
    <w:rsid w:val="00731D67"/>
    <w:rPr>
      <w:rFonts w:asciiTheme="minorHAnsi" w:eastAsiaTheme="minorHAnsi" w:hAnsiTheme="minorHAnsi" w:cstheme="minorBidi"/>
      <w:lang w:val="tr-TR" w:eastAsia="en-US"/>
    </w:rPr>
  </w:style>
  <w:style w:type="character" w:styleId="FootnoteReference">
    <w:name w:val="footnote reference"/>
    <w:basedOn w:val="DefaultParagraphFont"/>
    <w:uiPriority w:val="99"/>
    <w:semiHidden/>
    <w:unhideWhenUsed/>
    <w:rsid w:val="00731D67"/>
    <w:rPr>
      <w:vertAlign w:val="superscript"/>
    </w:rPr>
  </w:style>
  <w:style w:type="paragraph" w:customStyle="1" w:styleId="MDPI41tablecaption">
    <w:name w:val="MDPI_4.1_table_caption"/>
    <w:qFormat/>
    <w:rsid w:val="00DE2347"/>
    <w:pPr>
      <w:adjustRightInd w:val="0"/>
      <w:snapToGrid w:val="0"/>
      <w:spacing w:before="240" w:after="120" w:line="228" w:lineRule="auto"/>
      <w:ind w:left="2608"/>
      <w:jc w:val="both"/>
    </w:pPr>
    <w:rPr>
      <w:rFonts w:ascii="Palatino Linotype" w:hAnsi="Palatino Linotype" w:cs="Cordia New"/>
      <w:color w:val="000000"/>
      <w:sz w:val="18"/>
      <w:szCs w:val="22"/>
      <w:lang w:eastAsia="de-DE" w:bidi="en-US"/>
    </w:rPr>
  </w:style>
  <w:style w:type="paragraph" w:customStyle="1" w:styleId="MDPI42tablebody">
    <w:name w:val="MDPI_4.2_table_body"/>
    <w:qFormat/>
    <w:rsid w:val="00DE2347"/>
    <w:pPr>
      <w:adjustRightInd w:val="0"/>
      <w:snapToGrid w:val="0"/>
      <w:spacing w:after="0" w:line="260" w:lineRule="atLeast"/>
      <w:jc w:val="center"/>
    </w:pPr>
    <w:rPr>
      <w:rFonts w:ascii="Palatino Linotype" w:hAnsi="Palatino Linotype"/>
      <w:snapToGrid w:val="0"/>
      <w:color w:val="000000"/>
      <w:lang w:eastAsia="de-DE" w:bidi="en-US"/>
    </w:rPr>
  </w:style>
  <w:style w:type="paragraph" w:customStyle="1" w:styleId="MDPI72Copyright">
    <w:name w:val="MDPI_7.2_Copyright"/>
    <w:qFormat/>
    <w:rsid w:val="00DE2347"/>
    <w:pPr>
      <w:adjustRightInd w:val="0"/>
      <w:snapToGrid w:val="0"/>
      <w:spacing w:before="240" w:after="0" w:line="240" w:lineRule="atLeast"/>
      <w:ind w:right="113"/>
    </w:pPr>
    <w:rPr>
      <w:rFonts w:ascii="Palatino Linotype" w:hAnsi="Palatino Linotype"/>
      <w:noProof/>
      <w:snapToGrid w:val="0"/>
      <w:color w:val="000000"/>
      <w:spacing w:val="-2"/>
      <w:sz w:val="14"/>
      <w:lang w:eastAsia="en-GB"/>
    </w:rPr>
  </w:style>
  <w:style w:type="paragraph" w:customStyle="1" w:styleId="MDPI22heading2">
    <w:name w:val="MDPI_2.2_heading2"/>
    <w:qFormat/>
    <w:rsid w:val="0062184D"/>
    <w:pPr>
      <w:adjustRightInd w:val="0"/>
      <w:snapToGrid w:val="0"/>
      <w:spacing w:before="60" w:after="60" w:line="228" w:lineRule="auto"/>
      <w:ind w:left="2608"/>
      <w:outlineLvl w:val="1"/>
    </w:pPr>
    <w:rPr>
      <w:rFonts w:ascii="Palatino Linotype" w:hAnsi="Palatino Linotype"/>
      <w:i/>
      <w:noProof/>
      <w:snapToGrid w:val="0"/>
      <w:color w:val="000000"/>
      <w:szCs w:val="22"/>
      <w:lang w:eastAsia="de-DE" w:bidi="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763F73"/>
    <w:rPr>
      <w:color w:val="605E5C"/>
      <w:shd w:val="clear" w:color="auto" w:fill="E1DFDD"/>
    </w:rPr>
  </w:style>
  <w:style w:type="character" w:customStyle="1" w:styleId="UnresolvedMention2">
    <w:name w:val="Unresolved Mention2"/>
    <w:basedOn w:val="DefaultParagraphFont"/>
    <w:uiPriority w:val="99"/>
    <w:semiHidden/>
    <w:unhideWhenUsed/>
    <w:rsid w:val="00E4021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6">
    <w:basedOn w:val="TableNormal"/>
    <w:rPr>
      <w:rFonts w:ascii="Times New Roman" w:eastAsia="Times New Roman" w:hAnsi="Times New Roman" w:cs="Times New Roman"/>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rPr>
      <w:rFonts w:ascii="Times New Roman" w:eastAsia="Times New Roman" w:hAnsi="Times New Roman" w:cs="Times New Roman"/>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30958/aje.10-2-10" TargetMode="External"/><Relationship Id="rId21" Type="http://schemas.openxmlformats.org/officeDocument/2006/relationships/hyperlink" Target="https://doi.org/10.1002/geo2.36" TargetMode="External"/><Relationship Id="rId34" Type="http://schemas.openxmlformats.org/officeDocument/2006/relationships/hyperlink" Target="http://arxiv.org/abs/2501.14845" TargetMode="External"/><Relationship Id="rId42" Type="http://schemas.openxmlformats.org/officeDocument/2006/relationships/hyperlink" Target="https://doi.org/10.1002/jrsm.1561" TargetMode="External"/><Relationship Id="rId47" Type="http://schemas.openxmlformats.org/officeDocument/2006/relationships/hyperlink" Target="https://doi.org/10.36312/madu.v1i2.51" TargetMode="External"/><Relationship Id="rId50" Type="http://schemas.openxmlformats.org/officeDocument/2006/relationships/hyperlink" Target="https://doi.org/10.2991/978-94-6463-220-0_6" TargetMode="External"/><Relationship Id="rId55" Type="http://schemas.openxmlformats.org/officeDocument/2006/relationships/hyperlink" Target="https://doi.org/10.1080/10705511.2016.1274657"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39/B7RP90006F" TargetMode="External"/><Relationship Id="rId29" Type="http://schemas.openxmlformats.org/officeDocument/2006/relationships/hyperlink" Target="http://syekhnurjati.ac.id/jurnal/index.php/pmat" TargetMode="External"/><Relationship Id="rId11" Type="http://schemas.openxmlformats.org/officeDocument/2006/relationships/hyperlink" Target="https://apastyle.apa.org/style-grammar-guidelines/references" TargetMode="External"/><Relationship Id="rId24" Type="http://schemas.openxmlformats.org/officeDocument/2006/relationships/hyperlink" Target="https://doi.org/10.22146/buletinpsikologi.38619" TargetMode="External"/><Relationship Id="rId32" Type="http://schemas.openxmlformats.org/officeDocument/2006/relationships/hyperlink" Target="https://doi.org/10.24014/juring.v6i3.25754" TargetMode="External"/><Relationship Id="rId37" Type="http://schemas.openxmlformats.org/officeDocument/2006/relationships/hyperlink" Target="https://multisciencejournal.com/index.php/ijm/article/view/31" TargetMode="External"/><Relationship Id="rId40" Type="http://schemas.openxmlformats.org/officeDocument/2006/relationships/hyperlink" Target="https://doi.org/10.24036/bioedu.v4i2.283" TargetMode="External"/><Relationship Id="rId45" Type="http://schemas.openxmlformats.org/officeDocument/2006/relationships/hyperlink" Target="https://doi.org/10.36232/jurnalpendidikandasar.v2i1.406" TargetMode="External"/><Relationship Id="rId53" Type="http://schemas.openxmlformats.org/officeDocument/2006/relationships/hyperlink" Target="https://doi.org/10.23917/ppd.v10i3.3169" TargetMode="External"/><Relationship Id="rId58" Type="http://schemas.openxmlformats.org/officeDocument/2006/relationships/hyperlink" Target="https://doi.org/10.26740/mathedunesa.v12n1.p108-128" TargetMode="External"/><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oi.org/10.1007/978-981-10-1419-2" TargetMode="External"/><Relationship Id="rId14" Type="http://schemas.openxmlformats.org/officeDocument/2006/relationships/hyperlink" Target="https://doi.org/10.21125/inted.2021.1060" TargetMode="External"/><Relationship Id="rId22" Type="http://schemas.openxmlformats.org/officeDocument/2006/relationships/hyperlink" Target="https://doi.org/10.1007/s13394-020-00315-0" TargetMode="External"/><Relationship Id="rId27" Type="http://schemas.openxmlformats.org/officeDocument/2006/relationships/hyperlink" Target="https://doi.org/10.3390/su14105897" TargetMode="External"/><Relationship Id="rId30" Type="http://schemas.openxmlformats.org/officeDocument/2006/relationships/hyperlink" Target="https://doi.org/10.46827/ejsss.v7i4.1249" TargetMode="External"/><Relationship Id="rId35" Type="http://schemas.openxmlformats.org/officeDocument/2006/relationships/hyperlink" Target="https://doi.org/10.1080/07380577.2021.1919954" TargetMode="External"/><Relationship Id="rId43" Type="http://schemas.openxmlformats.org/officeDocument/2006/relationships/hyperlink" Target="https://doi.org/10.23917/ppd.v11i2.2846" TargetMode="External"/><Relationship Id="rId48" Type="http://schemas.openxmlformats.org/officeDocument/2006/relationships/hyperlink" Target="https://doi.org/10.3758/s13420-017-0280-3" TargetMode="External"/><Relationship Id="rId56" Type="http://schemas.openxmlformats.org/officeDocument/2006/relationships/hyperlink" Target="https://doi.org/10.1080/03004279.2024.2405023" TargetMode="External"/><Relationship Id="rId64" Type="http://schemas.openxmlformats.org/officeDocument/2006/relationships/footer" Target="footer2.xml"/><Relationship Id="rId8" Type="http://schemas.openxmlformats.org/officeDocument/2006/relationships/hyperlink" Target="mailto:e-mail@e-mail.com" TargetMode="External"/><Relationship Id="rId51" Type="http://schemas.openxmlformats.org/officeDocument/2006/relationships/hyperlink" Target="https://doi.org/10.1080/10901027.2020.1852346" TargetMode="External"/><Relationship Id="rId3" Type="http://schemas.openxmlformats.org/officeDocument/2006/relationships/styles" Target="styles.xml"/><Relationship Id="rId12" Type="http://schemas.openxmlformats.org/officeDocument/2006/relationships/hyperlink" Target="https://apastyle.apa.org/style-grammar-guidelines/references" TargetMode="External"/><Relationship Id="rId17" Type="http://schemas.openxmlformats.org/officeDocument/2006/relationships/hyperlink" Target="https://doi.org/10.14201/eks.20272" TargetMode="External"/><Relationship Id="rId25" Type="http://schemas.openxmlformats.org/officeDocument/2006/relationships/hyperlink" Target="https://doi.org/10.23917/ppd.v11i1.6173" TargetMode="External"/><Relationship Id="rId33" Type="http://schemas.openxmlformats.org/officeDocument/2006/relationships/hyperlink" Target="https://celt.uwindsor.ca/index.php/CELT/article/view/7141" TargetMode="External"/><Relationship Id="rId38" Type="http://schemas.openxmlformats.org/officeDocument/2006/relationships/hyperlink" Target="https://doi.org/10.11591/ijere.v10i2.20640" TargetMode="External"/><Relationship Id="rId46" Type="http://schemas.openxmlformats.org/officeDocument/2006/relationships/hyperlink" Target="https://doi.org/10.29333/IJI.2021.14133A" TargetMode="External"/><Relationship Id="rId59" Type="http://schemas.openxmlformats.org/officeDocument/2006/relationships/hyperlink" Target="https://journal.unnes.ac.id/sju/usej/article/view/15856" TargetMode="External"/><Relationship Id="rId67" Type="http://schemas.openxmlformats.org/officeDocument/2006/relationships/fontTable" Target="fontTable.xml"/><Relationship Id="rId20" Type="http://schemas.openxmlformats.org/officeDocument/2006/relationships/hyperlink" Target="https://doi.org/10.1080/03075079.2025.2546955" TargetMode="External"/><Relationship Id="rId41" Type="http://schemas.openxmlformats.org/officeDocument/2006/relationships/hyperlink" Target="https://doi.org/10.11591/edulearn.v17i4.20876" TargetMode="External"/><Relationship Id="rId54" Type="http://schemas.openxmlformats.org/officeDocument/2006/relationships/hyperlink" Target="https://doi.org/10.11591/edulearn.v17i4.20866"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2331186X.2024.2433832" TargetMode="External"/><Relationship Id="rId23" Type="http://schemas.openxmlformats.org/officeDocument/2006/relationships/hyperlink" Target="https://doi.org/10.12973/ijem.8.3.535" TargetMode="External"/><Relationship Id="rId28" Type="http://schemas.openxmlformats.org/officeDocument/2006/relationships/hyperlink" Target="http://dx.doi.org/10.1787/8f19fc9f-en" TargetMode="External"/><Relationship Id="rId36" Type="http://schemas.openxmlformats.org/officeDocument/2006/relationships/hyperlink" Target="https://doi.org/10.23917/jramathedu.v5i2.10556" TargetMode="External"/><Relationship Id="rId49" Type="http://schemas.openxmlformats.org/officeDocument/2006/relationships/hyperlink" Target="https://doi.org/10.1007/s10668-022-02195-9" TargetMode="External"/><Relationship Id="rId57" Type="http://schemas.openxmlformats.org/officeDocument/2006/relationships/hyperlink" Target="https://e-journal.metrouniv.ac.id/elementary/article/view/1247" TargetMode="External"/><Relationship Id="rId10" Type="http://schemas.openxmlformats.org/officeDocument/2006/relationships/hyperlink" Target="https://apastyle.apa.org/style-grammar-guidelines/references" TargetMode="External"/><Relationship Id="rId31" Type="http://schemas.openxmlformats.org/officeDocument/2006/relationships/hyperlink" Target="https://doi.org/10.5296/ije.v5i2.3097" TargetMode="External"/><Relationship Id="rId44" Type="http://schemas.openxmlformats.org/officeDocument/2006/relationships/hyperlink" Target="https://doi.org/10.37630/jpm.v13i4.1350" TargetMode="External"/><Relationship Id="rId52" Type="http://schemas.openxmlformats.org/officeDocument/2006/relationships/hyperlink" Target="https://doi.org/10.1088/1742-6596/1722/1/012103" TargetMode="External"/><Relationship Id="rId60" Type="http://schemas.openxmlformats.org/officeDocument/2006/relationships/hyperlink" Target="https://doi.org/10.29333/ejmste/13344"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hyperlink" Target="https://doi.org/10.23917/ppd.v11i2.6441" TargetMode="External"/><Relationship Id="rId18" Type="http://schemas.openxmlformats.org/officeDocument/2006/relationships/hyperlink" Target="https://doi.org/10.24014/sjme.v3i1.3409" TargetMode="External"/><Relationship Id="rId39" Type="http://schemas.openxmlformats.org/officeDocument/2006/relationships/hyperlink" Target="https://doi.org/10.1007/s43545-022-00571-w"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image" Target="media/image2.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hyperlink" Target="https://journals2.ums.ac.id/index.php/ppd"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Face-to-face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c:v>
                </c:pt>
                <c:pt idx="1">
                  <c:v>B</c:v>
                </c:pt>
                <c:pt idx="2">
                  <c:v>C</c:v>
                </c:pt>
                <c:pt idx="3">
                  <c:v>D</c:v>
                </c:pt>
              </c:strCache>
            </c:strRef>
          </c:cat>
          <c:val>
            <c:numRef>
              <c:f>Sheet1!$B$2:$B$5</c:f>
              <c:numCache>
                <c:formatCode>General</c:formatCode>
                <c:ptCount val="4"/>
                <c:pt idx="0">
                  <c:v>6</c:v>
                </c:pt>
                <c:pt idx="1">
                  <c:v>33</c:v>
                </c:pt>
                <c:pt idx="2">
                  <c:v>17</c:v>
                </c:pt>
                <c:pt idx="3">
                  <c:v>8</c:v>
                </c:pt>
              </c:numCache>
            </c:numRef>
          </c:val>
          <c:extLst>
            <c:ext xmlns:c16="http://schemas.microsoft.com/office/drawing/2014/chart" uri="{C3380CC4-5D6E-409C-BE32-E72D297353CC}">
              <c16:uniqueId val="{00000000-73D5-4106-9523-B68D3375020F}"/>
            </c:ext>
          </c:extLst>
        </c:ser>
        <c:ser>
          <c:idx val="1"/>
          <c:order val="1"/>
          <c:tx>
            <c:strRef>
              <c:f>Sheet1!$C$1</c:f>
              <c:strCache>
                <c:ptCount val="1"/>
                <c:pt idx="0">
                  <c:v>Hybrid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c:v>
                </c:pt>
                <c:pt idx="1">
                  <c:v>B</c:v>
                </c:pt>
                <c:pt idx="2">
                  <c:v>C</c:v>
                </c:pt>
                <c:pt idx="3">
                  <c:v>D</c:v>
                </c:pt>
              </c:strCache>
            </c:strRef>
          </c:cat>
          <c:val>
            <c:numRef>
              <c:f>Sheet1!$C$2:$C$5</c:f>
              <c:numCache>
                <c:formatCode>General</c:formatCode>
                <c:ptCount val="4"/>
                <c:pt idx="0">
                  <c:v>14</c:v>
                </c:pt>
                <c:pt idx="1">
                  <c:v>39</c:v>
                </c:pt>
                <c:pt idx="2">
                  <c:v>10</c:v>
                </c:pt>
                <c:pt idx="3">
                  <c:v>1</c:v>
                </c:pt>
              </c:numCache>
            </c:numRef>
          </c:val>
          <c:extLst>
            <c:ext xmlns:c16="http://schemas.microsoft.com/office/drawing/2014/chart" uri="{C3380CC4-5D6E-409C-BE32-E72D297353CC}">
              <c16:uniqueId val="{00000001-73D5-4106-9523-B68D3375020F}"/>
            </c:ext>
          </c:extLst>
        </c:ser>
        <c:dLbls>
          <c:dLblPos val="outEnd"/>
          <c:showLegendKey val="0"/>
          <c:showVal val="1"/>
          <c:showCatName val="0"/>
          <c:showSerName val="0"/>
          <c:showPercent val="0"/>
          <c:showBubbleSize val="0"/>
        </c:dLbls>
        <c:gapWidth val="150"/>
        <c:axId val="-1517513824"/>
        <c:axId val="-1517517632"/>
      </c:barChart>
      <c:catAx>
        <c:axId val="-15175138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Predicate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17517632"/>
        <c:crosses val="autoZero"/>
        <c:auto val="1"/>
        <c:lblAlgn val="ctr"/>
        <c:lblOffset val="100"/>
        <c:noMultiLvlLbl val="0"/>
      </c:catAx>
      <c:valAx>
        <c:axId val="-1517517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Total Samples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1751382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Entry>
      <c:layout>
        <c:manualLayout>
          <c:xMode val="edge"/>
          <c:yMode val="edge"/>
          <c:x val="0.71824550735618098"/>
          <c:y val="0.17315647970870007"/>
          <c:w val="0.25284679080611516"/>
          <c:h val="0.157969745941832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5v1Lx2C0+buNbCiC0z99fHSziw==">CgMxLjAyDmgubW4yM3p0dHFlcGVrMg5oLjhtMHNzMzZpd296azIOaC5yZDQwZDM0NG05OTcyDmguMTRqZ2V1YzN0bDlrOAByITFQdDRxRFpaZjlwVGQ1RjNRQ1psdFN4VUZNbEFLWl9lbQ==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3648</Words>
  <Characters>20799</Characters>
  <Application>Microsoft Office Word</Application>
  <DocSecurity>0</DocSecurity>
  <Lines>173</Lines>
  <Paragraphs>48</Paragraphs>
  <ScaleCrop>false</ScaleCrop>
  <Company/>
  <LinksUpToDate>false</LinksUpToDate>
  <CharactersWithSpaces>24399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5</cp:revision>
  <dcterms:created xsi:type="dcterms:W3CDTF">2025-10-04T10:14:00Z</dcterms:created>
  <dcterms:modified xsi:type="dcterms:W3CDTF">2026-08-04T09:04:00Z</dcterms:modified>
</cp:coreProperties>
</file>