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Open Sans ExtraBold" w:cs="Open Sans ExtraBold" w:eastAsia="Open Sans ExtraBold" w:hAnsi="Open Sans ExtraBold"/>
          <w:color w:val="2960a1"/>
          <w:sz w:val="54"/>
          <w:szCs w:val="54"/>
        </w:rPr>
      </w:pPr>
      <w:bookmarkStart w:colFirst="0" w:colLast="0" w:name="_qi0064nyewy5" w:id="0"/>
      <w:bookmarkEnd w:id="0"/>
      <w:r w:rsidDel="00000000" w:rsidR="00000000" w:rsidRPr="00000000">
        <w:rPr>
          <w:rFonts w:ascii="Open Sans ExtraBold" w:cs="Open Sans ExtraBold" w:eastAsia="Open Sans ExtraBold" w:hAnsi="Open Sans ExtraBold"/>
          <w:b w:val="0"/>
          <w:color w:val="2960a1"/>
          <w:sz w:val="54"/>
          <w:szCs w:val="54"/>
          <w:rtl w:val="0"/>
        </w:rPr>
        <w:t xml:space="preserve">Standard Operating Procedure (SOP) - Pay Parity</w:t>
      </w:r>
      <w:r w:rsidDel="00000000" w:rsidR="00000000" w:rsidRPr="00000000">
        <w:rPr>
          <w:rtl w:val="0"/>
        </w:rPr>
      </w:r>
    </w:p>
    <w:p w:rsidR="00000000" w:rsidDel="00000000" w:rsidP="00000000" w:rsidRDefault="00000000" w:rsidRPr="00000000" w14:paraId="00000002">
      <w:pPr>
        <w:pStyle w:val="Heading1"/>
        <w:jc w:val="center"/>
        <w:rPr>
          <w:rFonts w:ascii="Trebuchet MS" w:cs="Trebuchet MS" w:eastAsia="Trebuchet MS" w:hAnsi="Trebuchet MS"/>
          <w:sz w:val="32"/>
          <w:szCs w:val="32"/>
        </w:rPr>
      </w:pPr>
      <w:bookmarkStart w:colFirst="0" w:colLast="0" w:name="_eiiz8zd6picx" w:id="1"/>
      <w:bookmarkEnd w:id="1"/>
      <w:r w:rsidDel="00000000" w:rsidR="00000000" w:rsidRPr="00000000">
        <w:rPr>
          <w:rFonts w:ascii="Open Sans ExtraBold" w:cs="Open Sans ExtraBold" w:eastAsia="Open Sans ExtraBold" w:hAnsi="Open Sans ExtraBold"/>
          <w:color w:val="2960a1"/>
          <w:sz w:val="54"/>
          <w:szCs w:val="54"/>
        </w:rPr>
        <w:drawing>
          <wp:inline distB="114300" distT="114300" distL="114300" distR="114300">
            <wp:extent cx="4600575" cy="3200400"/>
            <wp:effectExtent b="0" l="0" r="0" t="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4600575"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keepNext w:val="0"/>
        <w:keepLines w:val="0"/>
        <w:widowControl w:val="0"/>
        <w:spacing w:after="120" w:before="480" w:line="276" w:lineRule="auto"/>
        <w:rPr>
          <w:rFonts w:ascii="Calibri" w:cs="Calibri" w:eastAsia="Calibri" w:hAnsi="Calibri"/>
          <w:sz w:val="36"/>
          <w:szCs w:val="36"/>
        </w:rPr>
      </w:pPr>
      <w:bookmarkStart w:colFirst="0" w:colLast="0" w:name="_30j0zll" w:id="2"/>
      <w:bookmarkEnd w:id="2"/>
      <w:r w:rsidDel="00000000" w:rsidR="00000000" w:rsidRPr="00000000">
        <w:rPr>
          <w:rFonts w:ascii="Open Sans" w:cs="Open Sans" w:eastAsia="Open Sans" w:hAnsi="Open Sans"/>
          <w:sz w:val="36"/>
          <w:szCs w:val="36"/>
          <w:rtl w:val="0"/>
        </w:rPr>
        <w:t xml:space="preserve">Validated for use by</w:t>
      </w: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jc w:val="center"/>
        <w:rPr>
          <w:rFonts w:ascii="Trebuchet MS" w:cs="Trebuchet MS" w:eastAsia="Trebuchet MS" w:hAnsi="Trebuchet MS"/>
          <w:sz w:val="32"/>
          <w:szCs w:val="32"/>
        </w:rPr>
      </w:pPr>
      <w:r w:rsidDel="00000000" w:rsidR="00000000" w:rsidRPr="00000000">
        <w:rPr>
          <w:rFonts w:ascii="Poppins" w:cs="Poppins" w:eastAsia="Poppins" w:hAnsi="Poppins"/>
          <w:b w:val="1"/>
          <w:sz w:val="48"/>
          <w:szCs w:val="48"/>
        </w:rPr>
        <w:drawing>
          <wp:inline distB="114300" distT="114300" distL="114300" distR="114300">
            <wp:extent cx="2043113" cy="108847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43113" cy="108847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07">
      <w:pP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08">
      <w:pP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09">
      <w:pP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0A">
      <w:pP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0B">
      <w:pPr>
        <w:rPr>
          <w:rFonts w:ascii="Trebuchet MS" w:cs="Trebuchet MS" w:eastAsia="Trebuchet MS" w:hAnsi="Trebuchet MS"/>
          <w:sz w:val="6"/>
          <w:szCs w:val="6"/>
        </w:rPr>
      </w:pPr>
      <w:r w:rsidDel="00000000" w:rsidR="00000000" w:rsidRPr="00000000">
        <w:rPr>
          <w:rFonts w:ascii="Trebuchet MS" w:cs="Trebuchet MS" w:eastAsia="Trebuchet MS" w:hAnsi="Trebuchet MS"/>
          <w:sz w:val="32"/>
          <w:szCs w:val="32"/>
          <w:rtl w:val="0"/>
        </w:rPr>
        <w:t xml:space="preserve">Purpose:</w:t>
        <w:br w:type="textWrapping"/>
      </w: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sz w:val="22"/>
          <w:szCs w:val="22"/>
          <w:rtl w:val="0"/>
        </w:rPr>
        <w:t xml:space="preserve">The purpose of this SOP is to establish a fair and consistent process for ensuring pay parity across all employees within the organization. It is to ensure that all employees within the organization are paid fairly and equitably for the work they perform, regardless of their race, gender, sexual orientation, or other characteristics. </w:t>
      </w:r>
      <w:r w:rsidDel="00000000" w:rsidR="00000000" w:rsidRPr="00000000">
        <w:rPr>
          <w:sz w:val="22"/>
          <w:szCs w:val="22"/>
          <w:rtl w:val="0"/>
        </w:rPr>
        <w:t xml:space="preserve">This SOP outlines the steps that HR will take to ensure pay parity within the organization.</w:t>
      </w:r>
      <w:r w:rsidDel="00000000" w:rsidR="00000000" w:rsidRPr="00000000">
        <w:rPr>
          <w:sz w:val="22"/>
          <w:szCs w:val="22"/>
          <w:rtl w:val="0"/>
        </w:rPr>
        <w:br w:type="textWrapping"/>
      </w:r>
    </w:p>
    <w:p w:rsidR="00000000" w:rsidDel="00000000" w:rsidP="00000000" w:rsidRDefault="00000000" w:rsidRPr="00000000" w14:paraId="0000000D">
      <w:pPr>
        <w:rPr>
          <w:sz w:val="22"/>
          <w:szCs w:val="22"/>
        </w:rPr>
      </w:pPr>
      <w:r w:rsidDel="00000000" w:rsidR="00000000" w:rsidRPr="00000000">
        <w:rPr>
          <w:rFonts w:ascii="Trebuchet MS" w:cs="Trebuchet MS" w:eastAsia="Trebuchet MS" w:hAnsi="Trebuchet MS"/>
          <w:sz w:val="32"/>
          <w:szCs w:val="32"/>
          <w:rtl w:val="0"/>
        </w:rPr>
        <w:t xml:space="preserve">Introduction:</w:t>
      </w:r>
      <w:r w:rsidDel="00000000" w:rsidR="00000000" w:rsidRPr="00000000">
        <w:rPr>
          <w:sz w:val="22"/>
          <w:szCs w:val="22"/>
          <w:rtl w:val="0"/>
        </w:rPr>
        <w:br w:type="textWrapping"/>
        <w:t xml:space="preserve">Pay parity is the principle that all employees should be paid equitably for the work they perform, regardless of their gender, race, or any other protected characteristic. </w:t>
      </w:r>
      <w:r w:rsidDel="00000000" w:rsidR="00000000" w:rsidRPr="00000000">
        <w:rPr>
          <w:sz w:val="22"/>
          <w:szCs w:val="22"/>
          <w:rtl w:val="0"/>
        </w:rPr>
        <w:t xml:space="preserve">This SOP outlines the steps that HR will take to ensure pay parity within the organization.</w:t>
        <w:br w:type="textWrapping"/>
      </w: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rFonts w:ascii="Trebuchet MS" w:cs="Trebuchet MS" w:eastAsia="Trebuchet MS" w:hAnsi="Trebuchet MS"/>
          <w:sz w:val="32"/>
          <w:szCs w:val="32"/>
          <w:rtl w:val="0"/>
        </w:rPr>
        <w:t xml:space="preserve">Scope:</w:t>
      </w:r>
      <w:r w:rsidDel="00000000" w:rsidR="00000000" w:rsidRPr="00000000">
        <w:rPr>
          <w:sz w:val="22"/>
          <w:szCs w:val="22"/>
          <w:rtl w:val="0"/>
        </w:rPr>
        <w:br w:type="textWrapping"/>
        <w:t xml:space="preserve">This SOP applies to all employees within the organization, including full-time, part-time, and temporary workers.It applies to all forms of compensation, including base salary, bonuses, and benefits.</w:t>
      </w:r>
    </w:p>
    <w:p w:rsidR="00000000" w:rsidDel="00000000" w:rsidP="00000000" w:rsidRDefault="00000000" w:rsidRPr="00000000" w14:paraId="0000000F">
      <w:pPr>
        <w:rPr>
          <w:sz w:val="22"/>
          <w:szCs w:val="22"/>
        </w:rPr>
      </w:pPr>
      <w:r w:rsidDel="00000000" w:rsidR="00000000" w:rsidRPr="00000000">
        <w:rPr>
          <w:sz w:val="22"/>
          <w:szCs w:val="22"/>
          <w:rtl w:val="0"/>
        </w:rPr>
        <w:br w:type="textWrapping"/>
      </w:r>
    </w:p>
    <w:p w:rsidR="00000000" w:rsidDel="00000000" w:rsidP="00000000" w:rsidRDefault="00000000" w:rsidRPr="00000000" w14:paraId="00000010">
      <w:pPr>
        <w:rPr>
          <w:sz w:val="22"/>
          <w:szCs w:val="22"/>
        </w:rPr>
      </w:pPr>
      <w:r w:rsidDel="00000000" w:rsidR="00000000" w:rsidRPr="00000000">
        <w:rPr>
          <w:rFonts w:ascii="Trebuchet MS" w:cs="Trebuchet MS" w:eastAsia="Trebuchet MS" w:hAnsi="Trebuchet MS"/>
          <w:sz w:val="32"/>
          <w:szCs w:val="32"/>
          <w:rtl w:val="0"/>
        </w:rPr>
        <w:t xml:space="preserve">Definitions:</w:t>
      </w:r>
      <w:r w:rsidDel="00000000" w:rsidR="00000000" w:rsidRPr="00000000">
        <w:rPr>
          <w:rtl w:val="0"/>
        </w:rPr>
      </w:r>
    </w:p>
    <w:p w:rsidR="00000000" w:rsidDel="00000000" w:rsidP="00000000" w:rsidRDefault="00000000" w:rsidRPr="00000000" w14:paraId="00000011">
      <w:pPr>
        <w:numPr>
          <w:ilvl w:val="0"/>
          <w:numId w:val="3"/>
        </w:numPr>
        <w:ind w:left="720" w:hanging="360"/>
        <w:rPr>
          <w:sz w:val="22"/>
          <w:szCs w:val="22"/>
        </w:rPr>
      </w:pPr>
      <w:r w:rsidDel="00000000" w:rsidR="00000000" w:rsidRPr="00000000">
        <w:rPr>
          <w:sz w:val="22"/>
          <w:szCs w:val="22"/>
          <w:rtl w:val="0"/>
        </w:rPr>
        <w:t xml:space="preserve">Pay parity: The principle that all employees should be paid equitably for the work they perform, regardless of their gender, race, or any other protected characteristic.</w:t>
      </w:r>
    </w:p>
    <w:p w:rsidR="00000000" w:rsidDel="00000000" w:rsidP="00000000" w:rsidRDefault="00000000" w:rsidRPr="00000000" w14:paraId="00000012">
      <w:pPr>
        <w:numPr>
          <w:ilvl w:val="0"/>
          <w:numId w:val="3"/>
        </w:numPr>
        <w:ind w:left="720" w:hanging="360"/>
        <w:rPr>
          <w:sz w:val="22"/>
          <w:szCs w:val="22"/>
        </w:rPr>
      </w:pPr>
      <w:r w:rsidDel="00000000" w:rsidR="00000000" w:rsidRPr="00000000">
        <w:rPr>
          <w:sz w:val="22"/>
          <w:szCs w:val="22"/>
          <w:rtl w:val="0"/>
        </w:rPr>
        <w:t xml:space="preserve">Pay gap: The difference in pay between different groups of employees, such as men and women or different racial or ethnic groups.</w:t>
      </w:r>
    </w:p>
    <w:p w:rsidR="00000000" w:rsidDel="00000000" w:rsidP="00000000" w:rsidRDefault="00000000" w:rsidRPr="00000000" w14:paraId="00000013">
      <w:pPr>
        <w:numPr>
          <w:ilvl w:val="0"/>
          <w:numId w:val="3"/>
        </w:numPr>
        <w:ind w:left="720" w:hanging="360"/>
        <w:rPr>
          <w:sz w:val="22"/>
          <w:szCs w:val="22"/>
        </w:rPr>
      </w:pPr>
      <w:r w:rsidDel="00000000" w:rsidR="00000000" w:rsidRPr="00000000">
        <w:rPr>
          <w:sz w:val="22"/>
          <w:szCs w:val="22"/>
          <w:rtl w:val="0"/>
        </w:rPr>
        <w:t xml:space="preserve">Base salary: The fixed amount of money that an employee is paid for their work, exclusive of bonuses or benefits.</w:t>
      </w:r>
    </w:p>
    <w:p w:rsidR="00000000" w:rsidDel="00000000" w:rsidP="00000000" w:rsidRDefault="00000000" w:rsidRPr="00000000" w14:paraId="00000014">
      <w:pPr>
        <w:numPr>
          <w:ilvl w:val="0"/>
          <w:numId w:val="3"/>
        </w:numPr>
        <w:ind w:left="720" w:hanging="360"/>
        <w:rPr>
          <w:sz w:val="22"/>
          <w:szCs w:val="22"/>
        </w:rPr>
      </w:pPr>
      <w:r w:rsidDel="00000000" w:rsidR="00000000" w:rsidRPr="00000000">
        <w:rPr>
          <w:sz w:val="22"/>
          <w:szCs w:val="22"/>
          <w:rtl w:val="0"/>
        </w:rPr>
        <w:t xml:space="preserve">Bonuses: Additional payments made to employees for achieving specific goals or targets.</w:t>
      </w:r>
    </w:p>
    <w:p w:rsidR="00000000" w:rsidDel="00000000" w:rsidP="00000000" w:rsidRDefault="00000000" w:rsidRPr="00000000" w14:paraId="00000015">
      <w:pPr>
        <w:numPr>
          <w:ilvl w:val="0"/>
          <w:numId w:val="3"/>
        </w:numPr>
        <w:ind w:left="720" w:hanging="360"/>
        <w:rPr>
          <w:sz w:val="22"/>
          <w:szCs w:val="22"/>
        </w:rPr>
      </w:pPr>
      <w:r w:rsidDel="00000000" w:rsidR="00000000" w:rsidRPr="00000000">
        <w:rPr>
          <w:sz w:val="22"/>
          <w:szCs w:val="22"/>
          <w:rtl w:val="0"/>
        </w:rPr>
        <w:t xml:space="preserve">Benefits: Additional compensation provided to employees, such as health insurance, retirement plans, or paid time off.</w:t>
      </w:r>
    </w:p>
    <w:p w:rsidR="00000000" w:rsidDel="00000000" w:rsidP="00000000" w:rsidRDefault="00000000" w:rsidRPr="00000000" w14:paraId="00000016">
      <w:pPr>
        <w:rPr>
          <w:rFonts w:ascii="Trebuchet MS" w:cs="Trebuchet MS" w:eastAsia="Trebuchet MS" w:hAnsi="Trebuchet MS"/>
          <w:sz w:val="32"/>
          <w:szCs w:val="32"/>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rFonts w:ascii="Trebuchet MS" w:cs="Trebuchet MS" w:eastAsia="Trebuchet MS" w:hAnsi="Trebuchet MS"/>
          <w:sz w:val="32"/>
          <w:szCs w:val="32"/>
          <w:rtl w:val="0"/>
        </w:rPr>
        <w:t xml:space="preserve">Responsibilities:</w:t>
      </w:r>
      <w:r w:rsidDel="00000000" w:rsidR="00000000" w:rsidRPr="00000000">
        <w:rPr>
          <w:rtl w:val="0"/>
        </w:rPr>
      </w:r>
    </w:p>
    <w:p w:rsidR="00000000" w:rsidDel="00000000" w:rsidP="00000000" w:rsidRDefault="00000000" w:rsidRPr="00000000" w14:paraId="00000018">
      <w:pPr>
        <w:numPr>
          <w:ilvl w:val="0"/>
          <w:numId w:val="2"/>
        </w:numPr>
        <w:ind w:left="720" w:hanging="360"/>
        <w:rPr>
          <w:sz w:val="22"/>
          <w:szCs w:val="22"/>
        </w:rPr>
      </w:pPr>
      <w:r w:rsidDel="00000000" w:rsidR="00000000" w:rsidRPr="00000000">
        <w:rPr>
          <w:sz w:val="22"/>
          <w:szCs w:val="22"/>
          <w:rtl w:val="0"/>
        </w:rPr>
        <w:t xml:space="preserve">Human Resources: Responsible for implementing and maintaining the pay parity process, including conducting regular audits and investigations of pay disparities.</w:t>
      </w:r>
    </w:p>
    <w:p w:rsidR="00000000" w:rsidDel="00000000" w:rsidP="00000000" w:rsidRDefault="00000000" w:rsidRPr="00000000" w14:paraId="00000019">
      <w:pPr>
        <w:numPr>
          <w:ilvl w:val="0"/>
          <w:numId w:val="2"/>
        </w:numPr>
        <w:ind w:left="720" w:hanging="360"/>
        <w:rPr>
          <w:sz w:val="22"/>
          <w:szCs w:val="22"/>
        </w:rPr>
      </w:pPr>
      <w:r w:rsidDel="00000000" w:rsidR="00000000" w:rsidRPr="00000000">
        <w:rPr>
          <w:sz w:val="22"/>
          <w:szCs w:val="22"/>
          <w:rtl w:val="0"/>
        </w:rPr>
        <w:t xml:space="preserve">Managers: Responsible for ensuring that pay parity is maintained within their respective teams and reporting any discrepancies to Human Resources.</w:t>
      </w:r>
    </w:p>
    <w:p w:rsidR="00000000" w:rsidDel="00000000" w:rsidP="00000000" w:rsidRDefault="00000000" w:rsidRPr="00000000" w14:paraId="0000001A">
      <w:pPr>
        <w:numPr>
          <w:ilvl w:val="0"/>
          <w:numId w:val="2"/>
        </w:numPr>
        <w:ind w:left="720" w:hanging="360"/>
        <w:rPr>
          <w:sz w:val="22"/>
          <w:szCs w:val="22"/>
        </w:rPr>
      </w:pPr>
      <w:r w:rsidDel="00000000" w:rsidR="00000000" w:rsidRPr="00000000">
        <w:rPr>
          <w:sz w:val="22"/>
          <w:szCs w:val="22"/>
          <w:rtl w:val="0"/>
        </w:rPr>
        <w:t xml:space="preserve">Employees: Responsible for raising any concerns about pay disparities to their managers or Human Resources.</w:t>
      </w:r>
    </w:p>
    <w:p w:rsidR="00000000" w:rsidDel="00000000" w:rsidP="00000000" w:rsidRDefault="00000000" w:rsidRPr="00000000" w14:paraId="0000001B">
      <w:pPr>
        <w:ind w:left="720" w:firstLine="0"/>
        <w:rPr>
          <w:sz w:val="22"/>
          <w:szCs w:val="22"/>
        </w:rPr>
      </w:pPr>
      <w:r w:rsidDel="00000000" w:rsidR="00000000" w:rsidRPr="00000000">
        <w:rPr>
          <w:sz w:val="22"/>
          <w:szCs w:val="22"/>
          <w:rtl w:val="0"/>
        </w:rPr>
        <w:br w:type="textWrapping"/>
      </w:r>
    </w:p>
    <w:p w:rsidR="00000000" w:rsidDel="00000000" w:rsidP="00000000" w:rsidRDefault="00000000" w:rsidRPr="00000000" w14:paraId="0000001C">
      <w:pPr>
        <w:rPr>
          <w:sz w:val="22"/>
          <w:szCs w:val="22"/>
        </w:rPr>
      </w:pPr>
      <w:r w:rsidDel="00000000" w:rsidR="00000000" w:rsidRPr="00000000">
        <w:rPr>
          <w:rFonts w:ascii="Trebuchet MS" w:cs="Trebuchet MS" w:eastAsia="Trebuchet MS" w:hAnsi="Trebuchet MS"/>
          <w:sz w:val="32"/>
          <w:szCs w:val="32"/>
          <w:rtl w:val="0"/>
        </w:rPr>
        <w:t xml:space="preserve">Best Practices:</w:t>
      </w:r>
      <w:r w:rsidDel="00000000" w:rsidR="00000000" w:rsidRPr="00000000">
        <w:rPr>
          <w:rtl w:val="0"/>
        </w:rPr>
      </w:r>
    </w:p>
    <w:p w:rsidR="00000000" w:rsidDel="00000000" w:rsidP="00000000" w:rsidRDefault="00000000" w:rsidRPr="00000000" w14:paraId="0000001D">
      <w:pPr>
        <w:numPr>
          <w:ilvl w:val="0"/>
          <w:numId w:val="5"/>
        </w:numPr>
        <w:ind w:left="720" w:hanging="360"/>
        <w:rPr>
          <w:sz w:val="22"/>
          <w:szCs w:val="22"/>
        </w:rPr>
      </w:pPr>
      <w:r w:rsidDel="00000000" w:rsidR="00000000" w:rsidRPr="00000000">
        <w:rPr>
          <w:sz w:val="22"/>
          <w:szCs w:val="22"/>
          <w:rtl w:val="0"/>
        </w:rPr>
        <w:t xml:space="preserve">Regularly review and update job descriptions to ensure that they accurately reflect the duties and responsibilities of each position.</w:t>
      </w:r>
    </w:p>
    <w:p w:rsidR="00000000" w:rsidDel="00000000" w:rsidP="00000000" w:rsidRDefault="00000000" w:rsidRPr="00000000" w14:paraId="0000001E">
      <w:pPr>
        <w:numPr>
          <w:ilvl w:val="0"/>
          <w:numId w:val="5"/>
        </w:numPr>
        <w:ind w:left="720" w:hanging="360"/>
        <w:rPr>
          <w:sz w:val="22"/>
          <w:szCs w:val="22"/>
        </w:rPr>
      </w:pPr>
      <w:r w:rsidDel="00000000" w:rsidR="00000000" w:rsidRPr="00000000">
        <w:rPr>
          <w:sz w:val="22"/>
          <w:szCs w:val="22"/>
          <w:rtl w:val="0"/>
        </w:rPr>
        <w:t xml:space="preserve">Use objective criteria, such as qualifications, experience, and performance, to determine pay and promotions.</w:t>
      </w:r>
    </w:p>
    <w:p w:rsidR="00000000" w:rsidDel="00000000" w:rsidP="00000000" w:rsidRDefault="00000000" w:rsidRPr="00000000" w14:paraId="0000001F">
      <w:pPr>
        <w:numPr>
          <w:ilvl w:val="0"/>
          <w:numId w:val="5"/>
        </w:numPr>
        <w:ind w:left="720" w:hanging="360"/>
        <w:rPr>
          <w:sz w:val="22"/>
          <w:szCs w:val="22"/>
        </w:rPr>
      </w:pPr>
      <w:r w:rsidDel="00000000" w:rsidR="00000000" w:rsidRPr="00000000">
        <w:rPr>
          <w:sz w:val="22"/>
          <w:szCs w:val="22"/>
          <w:rtl w:val="0"/>
        </w:rPr>
        <w:t xml:space="preserve">Provide transparency in the pay process, and make sure all employees are aware of the factors that are used to determine pay.</w:t>
      </w:r>
    </w:p>
    <w:p w:rsidR="00000000" w:rsidDel="00000000" w:rsidP="00000000" w:rsidRDefault="00000000" w:rsidRPr="00000000" w14:paraId="00000020">
      <w:pPr>
        <w:numPr>
          <w:ilvl w:val="0"/>
          <w:numId w:val="5"/>
        </w:numPr>
        <w:ind w:left="720" w:hanging="360"/>
        <w:rPr>
          <w:sz w:val="22"/>
          <w:szCs w:val="22"/>
        </w:rPr>
      </w:pPr>
      <w:r w:rsidDel="00000000" w:rsidR="00000000" w:rsidRPr="00000000">
        <w:rPr>
          <w:sz w:val="22"/>
          <w:szCs w:val="22"/>
          <w:rtl w:val="0"/>
        </w:rPr>
        <w:t xml:space="preserve">Encourage employees to speak out if they believe they are not being paid fairly.</w:t>
        <w:br w:type="textWrapping"/>
      </w:r>
    </w:p>
    <w:p w:rsidR="00000000" w:rsidDel="00000000" w:rsidP="00000000" w:rsidRDefault="00000000" w:rsidRPr="00000000" w14:paraId="00000021">
      <w:pPr>
        <w:rPr>
          <w:sz w:val="22"/>
          <w:szCs w:val="22"/>
        </w:rPr>
      </w:pPr>
      <w:r w:rsidDel="00000000" w:rsidR="00000000" w:rsidRPr="00000000">
        <w:rPr>
          <w:rFonts w:ascii="Trebuchet MS" w:cs="Trebuchet MS" w:eastAsia="Trebuchet MS" w:hAnsi="Trebuchet MS"/>
          <w:sz w:val="32"/>
          <w:szCs w:val="32"/>
          <w:rtl w:val="0"/>
        </w:rPr>
        <w:t xml:space="preserve">Steps:</w:t>
      </w:r>
      <w:r w:rsidDel="00000000" w:rsidR="00000000" w:rsidRPr="00000000">
        <w:rPr>
          <w:rtl w:val="0"/>
        </w:rPr>
      </w:r>
    </w:p>
    <w:p w:rsidR="00000000" w:rsidDel="00000000" w:rsidP="00000000" w:rsidRDefault="00000000" w:rsidRPr="00000000" w14:paraId="00000022">
      <w:pPr>
        <w:numPr>
          <w:ilvl w:val="0"/>
          <w:numId w:val="1"/>
        </w:numPr>
        <w:ind w:left="720" w:hanging="360"/>
        <w:rPr>
          <w:sz w:val="22"/>
          <w:szCs w:val="22"/>
        </w:rPr>
      </w:pPr>
      <w:r w:rsidDel="00000000" w:rsidR="00000000" w:rsidRPr="00000000">
        <w:rPr>
          <w:sz w:val="22"/>
          <w:szCs w:val="22"/>
          <w:rtl w:val="0"/>
        </w:rPr>
        <w:t xml:space="preserve">Conduct a pay audit to identify any pay disparities within the organization.</w:t>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sz w:val="22"/>
          <w:szCs w:val="22"/>
          <w:rtl w:val="0"/>
        </w:rPr>
        <w:t xml:space="preserve">Investigate and address any pay disparities that are identified.</w:t>
      </w:r>
    </w:p>
    <w:p w:rsidR="00000000" w:rsidDel="00000000" w:rsidP="00000000" w:rsidRDefault="00000000" w:rsidRPr="00000000" w14:paraId="00000024">
      <w:pPr>
        <w:numPr>
          <w:ilvl w:val="0"/>
          <w:numId w:val="1"/>
        </w:numPr>
        <w:ind w:left="720" w:hanging="360"/>
        <w:rPr>
          <w:sz w:val="22"/>
          <w:szCs w:val="22"/>
        </w:rPr>
      </w:pPr>
      <w:r w:rsidDel="00000000" w:rsidR="00000000" w:rsidRPr="00000000">
        <w:rPr>
          <w:sz w:val="22"/>
          <w:szCs w:val="22"/>
          <w:rtl w:val="0"/>
        </w:rPr>
        <w:t xml:space="preserve">Implement a process for regularly reviewing and updating job descriptions.</w:t>
      </w:r>
    </w:p>
    <w:p w:rsidR="00000000" w:rsidDel="00000000" w:rsidP="00000000" w:rsidRDefault="00000000" w:rsidRPr="00000000" w14:paraId="00000025">
      <w:pPr>
        <w:numPr>
          <w:ilvl w:val="0"/>
          <w:numId w:val="1"/>
        </w:numPr>
        <w:ind w:left="720" w:hanging="360"/>
        <w:rPr>
          <w:sz w:val="22"/>
          <w:szCs w:val="22"/>
        </w:rPr>
      </w:pPr>
      <w:r w:rsidDel="00000000" w:rsidR="00000000" w:rsidRPr="00000000">
        <w:rPr>
          <w:sz w:val="22"/>
          <w:szCs w:val="22"/>
          <w:rtl w:val="0"/>
        </w:rPr>
        <w:t xml:space="preserve">Use objective criteria to determine pay and promotions.</w:t>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sz w:val="22"/>
          <w:szCs w:val="22"/>
          <w:rtl w:val="0"/>
        </w:rPr>
        <w:t xml:space="preserve">Provide transparency in the pay process and make sure all employees are aware of the factors that are used to determine pay.</w:t>
      </w:r>
    </w:p>
    <w:p w:rsidR="00000000" w:rsidDel="00000000" w:rsidP="00000000" w:rsidRDefault="00000000" w:rsidRPr="00000000" w14:paraId="00000027">
      <w:pPr>
        <w:numPr>
          <w:ilvl w:val="0"/>
          <w:numId w:val="1"/>
        </w:numPr>
        <w:ind w:left="720" w:hanging="360"/>
        <w:rPr>
          <w:sz w:val="22"/>
          <w:szCs w:val="22"/>
        </w:rPr>
      </w:pPr>
      <w:r w:rsidDel="00000000" w:rsidR="00000000" w:rsidRPr="00000000">
        <w:rPr>
          <w:sz w:val="22"/>
          <w:szCs w:val="22"/>
          <w:rtl w:val="0"/>
        </w:rPr>
        <w:t xml:space="preserve">Encourage employees to speak out if they believe they are not being paid fairly.</w:t>
      </w:r>
    </w:p>
    <w:p w:rsidR="00000000" w:rsidDel="00000000" w:rsidP="00000000" w:rsidRDefault="00000000" w:rsidRPr="00000000" w14:paraId="00000028">
      <w:pPr>
        <w:numPr>
          <w:ilvl w:val="0"/>
          <w:numId w:val="1"/>
        </w:numPr>
        <w:spacing w:after="0" w:afterAutospacing="0" w:lineRule="auto"/>
        <w:ind w:left="720" w:hanging="360"/>
        <w:rPr>
          <w:sz w:val="22"/>
          <w:szCs w:val="22"/>
        </w:rPr>
      </w:pPr>
      <w:r w:rsidDel="00000000" w:rsidR="00000000" w:rsidRPr="00000000">
        <w:rPr>
          <w:sz w:val="21"/>
          <w:szCs w:val="21"/>
          <w:rtl w:val="0"/>
        </w:rPr>
        <w:t xml:space="preserve">Communicate openly and transparently with employees about the organization's pay practices.</w:t>
      </w:r>
    </w:p>
    <w:p w:rsidR="00000000" w:rsidDel="00000000" w:rsidP="00000000" w:rsidRDefault="00000000" w:rsidRPr="00000000" w14:paraId="00000029">
      <w:pPr>
        <w:numPr>
          <w:ilvl w:val="0"/>
          <w:numId w:val="1"/>
        </w:numPr>
        <w:spacing w:after="240" w:lineRule="auto"/>
        <w:ind w:left="720" w:hanging="360"/>
        <w:rPr>
          <w:sz w:val="22"/>
          <w:szCs w:val="22"/>
        </w:rPr>
      </w:pPr>
      <w:r w:rsidDel="00000000" w:rsidR="00000000" w:rsidRPr="00000000">
        <w:rPr>
          <w:sz w:val="21"/>
          <w:szCs w:val="21"/>
          <w:rtl w:val="0"/>
        </w:rPr>
        <w:t xml:space="preserve">Continuously monitor and reassess to ensure that pay parity is maintained.</w:t>
      </w:r>
    </w:p>
    <w:p w:rsidR="00000000" w:rsidDel="00000000" w:rsidP="00000000" w:rsidRDefault="00000000" w:rsidRPr="00000000" w14:paraId="0000002A">
      <w:pPr>
        <w:rPr>
          <w:sz w:val="22"/>
          <w:szCs w:val="22"/>
        </w:rPr>
      </w:pPr>
      <w:r w:rsidDel="00000000" w:rsidR="00000000" w:rsidRPr="00000000">
        <w:rPr>
          <w:rFonts w:ascii="Trebuchet MS" w:cs="Trebuchet MS" w:eastAsia="Trebuchet MS" w:hAnsi="Trebuchet MS"/>
          <w:sz w:val="32"/>
          <w:szCs w:val="32"/>
          <w:rtl w:val="0"/>
        </w:rPr>
        <w:t xml:space="preserve">Risks:</w:t>
      </w:r>
      <w:r w:rsidDel="00000000" w:rsidR="00000000" w:rsidRPr="00000000">
        <w:rPr>
          <w:rtl w:val="0"/>
        </w:rPr>
      </w:r>
    </w:p>
    <w:p w:rsidR="00000000" w:rsidDel="00000000" w:rsidP="00000000" w:rsidRDefault="00000000" w:rsidRPr="00000000" w14:paraId="0000002B">
      <w:pPr>
        <w:numPr>
          <w:ilvl w:val="0"/>
          <w:numId w:val="4"/>
        </w:numPr>
        <w:ind w:left="720" w:hanging="360"/>
        <w:rPr>
          <w:sz w:val="22"/>
          <w:szCs w:val="22"/>
        </w:rPr>
      </w:pPr>
      <w:r w:rsidDel="00000000" w:rsidR="00000000" w:rsidRPr="00000000">
        <w:rPr>
          <w:sz w:val="22"/>
          <w:szCs w:val="22"/>
          <w:rtl w:val="0"/>
        </w:rPr>
        <w:t xml:space="preserve">Failure to maintain pay parity can result in legal action and reputational damage.</w:t>
      </w:r>
    </w:p>
    <w:p w:rsidR="00000000" w:rsidDel="00000000" w:rsidP="00000000" w:rsidRDefault="00000000" w:rsidRPr="00000000" w14:paraId="0000002C">
      <w:pPr>
        <w:numPr>
          <w:ilvl w:val="0"/>
          <w:numId w:val="4"/>
        </w:numPr>
        <w:ind w:left="720" w:hanging="360"/>
        <w:rPr>
          <w:sz w:val="22"/>
          <w:szCs w:val="22"/>
        </w:rPr>
      </w:pPr>
      <w:r w:rsidDel="00000000" w:rsidR="00000000" w:rsidRPr="00000000">
        <w:rPr>
          <w:sz w:val="22"/>
          <w:szCs w:val="22"/>
          <w:rtl w:val="0"/>
        </w:rPr>
        <w:t xml:space="preserve">Failure to address pay disparities can lead to low morale and high turnover among affected employees.</w:t>
      </w:r>
    </w:p>
    <w:p w:rsidR="00000000" w:rsidDel="00000000" w:rsidP="00000000" w:rsidRDefault="00000000" w:rsidRPr="00000000" w14:paraId="0000002D">
      <w:pPr>
        <w:numPr>
          <w:ilvl w:val="0"/>
          <w:numId w:val="4"/>
        </w:numPr>
        <w:ind w:left="720" w:hanging="360"/>
        <w:rPr>
          <w:sz w:val="22"/>
          <w:szCs w:val="22"/>
        </w:rPr>
      </w:pPr>
      <w:r w:rsidDel="00000000" w:rsidR="00000000" w:rsidRPr="00000000">
        <w:rPr>
          <w:sz w:val="22"/>
          <w:szCs w:val="22"/>
          <w:rtl w:val="0"/>
        </w:rPr>
        <w:t xml:space="preserve">Lack of transparency in the pay process can lead to mistrust and resentment among employees.</w:t>
        <w:br w:type="textWrapping"/>
      </w:r>
    </w:p>
    <w:p w:rsidR="00000000" w:rsidDel="00000000" w:rsidP="00000000" w:rsidRDefault="00000000" w:rsidRPr="00000000" w14:paraId="0000002E">
      <w:pPr>
        <w:rPr>
          <w:sz w:val="22"/>
          <w:szCs w:val="22"/>
        </w:rPr>
      </w:pPr>
      <w:r w:rsidDel="00000000" w:rsidR="00000000" w:rsidRPr="00000000">
        <w:rPr>
          <w:b w:val="1"/>
          <w:sz w:val="22"/>
          <w:szCs w:val="22"/>
          <w:rtl w:val="0"/>
        </w:rPr>
        <w:t xml:space="preserve">Disclaimer: </w:t>
      </w:r>
      <w:r w:rsidDel="00000000" w:rsidR="00000000" w:rsidRPr="00000000">
        <w:rPr>
          <w:sz w:val="22"/>
          <w:szCs w:val="22"/>
          <w:rtl w:val="0"/>
        </w:rPr>
        <w:t xml:space="preserve">This is a template and should be modified as per the company's policies and procedures. It should be used as a guide and not as a definitive statement of company policy.</w:t>
      </w:r>
    </w:p>
    <w:p w:rsidR="00000000" w:rsidDel="00000000" w:rsidP="00000000" w:rsidRDefault="00000000" w:rsidRPr="00000000" w14:paraId="0000002F">
      <w:pPr>
        <w:ind w:left="720" w:firstLine="0"/>
        <w:rPr>
          <w:rFonts w:ascii="Trebuchet MS" w:cs="Trebuchet MS" w:eastAsia="Trebuchet MS" w:hAnsi="Trebuchet MS"/>
          <w:sz w:val="32"/>
          <w:szCs w:val="32"/>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ExtraBold">
    <w:embedBold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ageBreakBefore w:val="0"/>
      <w:jc w:val="right"/>
      <w:rPr/>
    </w:pPr>
    <w:hyperlink r:id="rId1">
      <w:r w:rsidDel="00000000" w:rsidR="00000000" w:rsidRPr="00000000">
        <w:rPr>
          <w:color w:val="1155cc"/>
          <w:u w:val="single"/>
          <w:rtl w:val="0"/>
        </w:rPr>
        <w:t xml:space="preserve">membership.chrmp.com</w:t>
      </w:r>
    </w:hyperlink>
    <w:r w:rsidDel="00000000" w:rsidR="00000000" w:rsidRPr="00000000">
      <w:rPr>
        <w:rtl w:val="0"/>
      </w:rPr>
      <w:t xml:space="preserve">                                                                                </w:t>
    </w:r>
    <w:r w:rsidDel="00000000" w:rsidR="00000000" w:rsidRPr="00000000">
      <w:rPr/>
      <w:drawing>
        <wp:inline distB="114300" distT="114300" distL="114300" distR="114300">
          <wp:extent cx="857250" cy="457200"/>
          <wp:effectExtent b="0" l="0" r="0" t="0"/>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57250" cy="4572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drawing>
        <wp:anchor allowOverlap="1" behindDoc="0" distB="0" distT="0" distL="0" distR="0" hidden="0" layoutInCell="1" locked="0" relativeHeight="0" simplePos="0">
          <wp:simplePos x="0" y="0"/>
          <wp:positionH relativeFrom="page">
            <wp:posOffset>-42862</wp:posOffset>
          </wp:positionH>
          <wp:positionV relativeFrom="page">
            <wp:posOffset>-9524</wp:posOffset>
          </wp:positionV>
          <wp:extent cx="7862726" cy="889161"/>
          <wp:effectExtent b="0" l="0" r="0" t="0"/>
          <wp:wrapTopAndBottom distB="0" dist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ExtraBold-bold.ttf"/><Relationship Id="rId6" Type="http://schemas.openxmlformats.org/officeDocument/2006/relationships/font" Target="fonts/OpenSansExtraBold-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membership.chrmp.com" TargetMode="External"/><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