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8"/>
          <w:szCs w:val="28"/>
        </w:rPr>
        <w:t xml:space="preserve">JURNAL MENGAJAR HARIAN</w:t>
      </w:r>
    </w:p>
    <w:tbl>
      <w:tblPr>
        <w:tblW w:type="dxa" w:w="15839"/>
        <w:tblBorders>
          <w:top w:val="single" w:color="auto" w:sz="4"/>
          <w:left w:val="single" w:color="auto" w:sz="4"/>
          <w:bottom w:val="single" w:color="auto" w:sz="4"/>
          <w:right w:val="single" w:color="auto" w:sz="4"/>
          <w:insideH w:val="single" w:color="auto" w:sz="4"/>
          <w:insideV w:val="single" w:color="auto" w:sz="4"/>
        </w:tblBorders>
      </w:tblPr>
      <w:tblGrid>
        <w:gridCol w:w="2600"/>
        <w:gridCol w:w="300"/>
        <w:gridCol w:w="12939"/>
      </w:tblGrid>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Nama Sekolah</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SDN 41 Pontianak Utara</w:t>
            </w:r>
          </w:p>
        </w:tc>
      </w:tr>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Nama Guru</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Data Belum Terisi</w:t>
            </w:r>
          </w:p>
        </w:tc>
      </w:tr>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Mata Pelajaran</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Bahasa Indonesia</w:t>
            </w:r>
          </w:p>
        </w:tc>
      </w:tr>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Kelas</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V (Lima)</w:t>
            </w:r>
          </w:p>
        </w:tc>
      </w:tr>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Semester</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I (Ganjil)</w:t>
            </w:r>
          </w:p>
        </w:tc>
      </w:tr>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Tahun Ajaran</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2026/2027</w:t>
            </w:r>
          </w:p>
        </w:tc>
      </w:tr>
      <w:tr>
        <w:tc>
          <w:tcPr>
            <w:tcW w:type="dxa" w:w="2600"/>
            <w:tcBorders>
              <w:top w:val="none" w:color="FFFFFF" w:sz="0"/>
              <w:left w:val="none" w:color="FFFFFF" w:sz="0"/>
              <w:bottom w:val="none" w:color="FFFFFF" w:sz="0"/>
              <w:right w:val="none" w:color="FFFFFF" w:sz="0"/>
            </w:tcBorders>
            <w:tcMar>
              <w:top w:type="dxa" w:w="30"/>
              <w:bottom w:type="dxa" w:w="30"/>
            </w:tcMar>
          </w:tcPr>
          <w:p>
            <w:r>
              <w:rPr>
                <w:sz w:val="20"/>
                <w:szCs w:val="20"/>
              </w:rPr>
              <w:t xml:space="preserve">Jadwal Pertemuan</w:t>
            </w:r>
          </w:p>
        </w:tc>
        <w:tc>
          <w:tcPr>
            <w:tcW w:type="dxa" w:w="300"/>
            <w:tcBorders>
              <w:top w:val="none" w:color="FFFFFF" w:sz="0"/>
              <w:left w:val="none" w:color="FFFFFF" w:sz="0"/>
              <w:bottom w:val="none" w:color="FFFFFF" w:sz="0"/>
              <w:right w:val="none" w:color="FFFFFF" w:sz="0"/>
            </w:tcBorders>
            <w:tcMar>
              <w:top w:type="dxa" w:w="30"/>
              <w:bottom w:type="dxa" w:w="30"/>
            </w:tcMar>
          </w:tcPr>
          <w:p>
            <w:r>
              <w:rPr>
                <w:sz w:val="20"/>
                <w:szCs w:val="20"/>
              </w:rPr>
              <w:t xml:space="preserve">:</w:t>
            </w:r>
          </w:p>
        </w:tc>
        <w:tc>
          <w:tcPr>
            <w:tcW w:type="dxa" w:w="12939"/>
            <w:tcBorders>
              <w:top w:val="none" w:color="FFFFFF" w:sz="0"/>
              <w:left w:val="none" w:color="FFFFFF" w:sz="0"/>
              <w:bottom w:val="none" w:color="FFFFFF" w:sz="0"/>
              <w:right w:val="none" w:color="FFFFFF" w:sz="0"/>
            </w:tcBorders>
            <w:tcMar>
              <w:top w:type="dxa" w:w="30"/>
              <w:bottom w:type="dxa" w:w="30"/>
            </w:tcMar>
          </w:tcPr>
          <w:p>
            <w:r>
              <w:rPr>
                <w:b/>
                <w:bCs/>
                <w:sz w:val="20"/>
                <w:szCs w:val="20"/>
              </w:rPr>
              <w:t xml:space="preserve">Senin (3 JP) dan Rabu (3 JP) — 6 JP / minggu</w:t>
            </w:r>
          </w:p>
        </w:tc>
      </w:tr>
    </w:tbl>
    <w:p>
      <w:pPr>
        <w:spacing w:after="160"/>
      </w:pPr>
    </w:p>
    <w:tbl>
      <w:tblPr>
        <w:tblW w:type="dxa" w:w="1583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1734"/>
        <w:gridCol w:w="1156"/>
        <w:gridCol w:w="2023"/>
        <w:gridCol w:w="867"/>
        <w:gridCol w:w="3121"/>
        <w:gridCol w:w="2196"/>
        <w:gridCol w:w="2196"/>
        <w:gridCol w:w="1965"/>
      </w:tblGrid>
      <w:tr>
        <w:trPr>
          <w:tblHeader/>
        </w:trPr>
        <w:tc>
          <w:tcPr>
            <w:tcW w:type="dxa" w:w="578"/>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Pertemuan
ke-</w:t>
            </w:r>
          </w:p>
        </w:tc>
        <w:tc>
          <w:tcPr>
            <w:tcW w:type="dxa" w:w="1734"/>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Hari / Tanggal</w:t>
            </w:r>
          </w:p>
        </w:tc>
        <w:tc>
          <w:tcPr>
            <w:tcW w:type="dxa" w:w="1156"/>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Mata
Pelajaran</w:t>
            </w:r>
          </w:p>
        </w:tc>
        <w:tc>
          <w:tcPr>
            <w:tcW w:type="dxa" w:w="2023"/>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Bab / Lingkup
Materi</w:t>
            </w:r>
          </w:p>
        </w:tc>
        <w:tc>
          <w:tcPr>
            <w:tcW w:type="dxa" w:w="867"/>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No. ATP</w:t>
            </w:r>
          </w:p>
        </w:tc>
        <w:tc>
          <w:tcPr>
            <w:tcW w:type="dxa" w:w="3121"/>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Tujuan Pembelajaran (TP)</w:t>
            </w:r>
          </w:p>
        </w:tc>
        <w:tc>
          <w:tcPr>
            <w:tcW w:type="dxa" w:w="2196"/>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Materi Pokok</w:t>
            </w:r>
          </w:p>
        </w:tc>
        <w:tc>
          <w:tcPr>
            <w:tcW w:type="dxa" w:w="2196"/>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Penilaian
(Asesmen)</w:t>
            </w:r>
          </w:p>
        </w:tc>
        <w:tc>
          <w:tcPr>
            <w:tcW w:type="dxa" w:w="1965"/>
            <w:shd w:fill="D9E2F3" w:color="auto" w:val="clear"/>
            <w:tcMar>
              <w:top w:type="dxa" w:w="50"/>
              <w:left w:type="dxa" w:w="60"/>
              <w:bottom w:type="dxa" w:w="50"/>
              <w:right w:type="dxa" w:w="60"/>
            </w:tcMar>
            <w:vAlign w:val="center"/>
          </w:tcPr>
          <w:p>
            <w:pPr>
              <w:jc w:val="center"/>
            </w:pPr>
            <w:r>
              <w:rPr>
                <w:b/>
                <w:bCs/>
                <w:i w:val="false"/>
                <w:iCs w:val="false"/>
                <w:sz w:val="14"/>
                <w:szCs w:val="14"/>
              </w:rPr>
              <w:t xml:space="preserve">Jurnal Reflektif</w:t>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13 Juli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 – Aku yang Unik</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5.1.1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teks yang dibacakan guru tentang karakteristik dan sifat diri, peserta didik dapat menjelaskan kembali ide pokok dan ide pendukung dengan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Ide pokok dan ide pendukung teks lisan tentang karakteristik diri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tanya jawab lisan &amp; lembar kerja menjelaskan ide pokok/pendukung</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15 Juli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 – Aku yang Unik</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5.1.1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teks yang dibacakan guru tentang karakteristik dan sifat diri, peserta didik dapat menjelaskan kembali ide pokok dan ide pendukung dengan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Ide pokok dan ide pendukung teks lisan tentang karakteristik diri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tanya jawab lisan &amp; lembar kerja menjelaskan ide pokok/pendukung</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20 Juli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 – Aku yang Unik</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5.1.2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teks deskripsi diri, peserta didik dapat mengidentifikasi kata sifat serta sinonim dan antonimnya dengan cermat.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Kata sifat, sinonim, dan antonim dalam teks deskripsi diri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identifikasi kata sifat, sinonim, dan antonim</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4</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22 Juli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 – Aku yang Unik</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5.1.2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teks deskripsi diri, peserta didik dapat mengidentifikasi kata sifat serta sinonim dan antonimnya dengan cermat.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Kata sifat, sinonim, dan antonim dalam teks deskripsi diri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identifikasi kata sifat, sinonim, dan antonim</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5</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27 Juli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 – Aku yang Unik</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5.1.3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berbicara di depan kelas dengan volume dan intonasi yang tepat, peserta didik dapat memperkenalkan diri secara jelas dan percaya diri.</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Perkenalan diri: volume suara dan intonasi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berbicara/presentasi perkenalan diri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6</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29 Juli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 – Aku yang Unik</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5.1.3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berbicara di depan kelas dengan volume dan intonasi yang tepat, peserta didik dapat memperkenalkan diri secara jelas dan percaya diri.</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Perkenalan diri: volume suara dan intonasi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berbicara/presentasi perkenalan diri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7</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3 Agustus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 – Aku yang Unik</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5.1.4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menulis puisi akrostik tentang dirinya, peserta didik dapat membuat teks deskripsi sederhana menggunakan kalimat majemuk setara dengan indah.</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Puisi akrostik dan kalimat majemuk setara</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produk tulisan puisi akrostik</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8</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5 Agustus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 – Aku yang Unik</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5.1.4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menulis puisi akrostik tentang dirinya, peserta didik dapat membuat teks deskripsi sederhana menggunakan kalimat majemuk setara dengan indah.</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Puisi akrostik dan kalimat majemuk setara; Evaluasi capaian pembelajaran Bab 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produk tulisan puisi akrostik / Sumatif Bab I – tes tertulis</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9</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10 Agustus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 – Aku yang Unik / Bab II – Buku Jendela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5.2.1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dan membaca dalam hati, peserta didik dapat mengenali fungsi tanda baca dan pengaruhnya pada intonasi sehingga memahami isi bacaan dengan lebih baik.</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Evaluasi capaian pembelajaran Bab I; Fungsi tanda baca dan pengaruhnya terhadap intonasi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Sumatif Bab I – tes tertulis / Formatif – lembar kerja identifikasi tanda baca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10</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12 Agustus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 – Buku Jendela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5.2.1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dan membaca dalam hati, peserta didik dapat mengenali fungsi tanda baca dan pengaruhnya pada intonasi sehingga memahami isi bacaan dengan lebih baik.</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Fungsi tanda baca dan pengaruhnya terhadap intonasi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identifikasi tanda baca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11</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17 Agustus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 – Buku Jendela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5.2.1, 5.2.2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dan membaca dalam hati, peserta didik dapat mengenali fungsi tanda baca dan pengaruhnya pada intonasi sehingga memahami isi bacaan dengan lebih baik. Melalui kegiatan membaca teks fiksi dan nonfiksi, peserta didik dapat membedakan informasi yang bersifat fakta dan fiksi dengan akurat.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Fungsi tanda baca dan pengaruhnya terhadap intonasi; Perbedaan informasi fakta dan fiksi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identifikasi tanda baca / Formatif – lembar kerja klasifikasi fakta/fiksi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12</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19 Agustus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 – Buku Jendela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5.2.2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teks fiksi dan nonfiksi, peserta didik dapat membedakan informasi yang bersifat fakta dan fiksi dengan akurat.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Perbedaan informasi fakta dan fiksi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klasifikasi fakta/fiksi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13</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24 Agustus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 – Buku Jendela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5.2.2, 5.2.3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teks fiksi dan nonfiksi, peserta didik dapat membedakan informasi yang bersifat fakta dan fiksi dengan akurat. Melalui kegiatan presentasi, peserta didik dapat menceritakan secara runut proses pembuatan buku beserta bagian-bagiannya menggunakan intonasi yang menarik.</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Perbedaan informasi fakta dan fiksi; Proses dan bagian-bagian pembuatan buku</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klasifikasi fakta/fiksi / Formatif – praktik unjuk kerja bercerita/presentasi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14</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26 Agustus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 – Buku Jendela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5.2.3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presentasi, peserta didik dapat menceritakan secara runut proses pembuatan buku beserta bagian-bagiannya menggunakan intonasi yang menarik.</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Proses dan bagian-bagian pembuatan buku</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bercerita/presentasi</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15</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31 Agustus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 – Buku Jendela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5.2.3, 5.2.4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presentasi, peserta didik dapat menceritakan secara runut proses pembuatan buku beserta bagian-bagiannya menggunakan intonasi yang menarik. Melalui kegiatan menulis, peserta didik dapat menulis teks naratif sederhana dengan unsur intrinsik seperti dialog untuk menarik pembaca.</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Proses dan bagian-bagian pembuatan buku; Teks naratif sederhana dengan unsur dialog</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bercerita/presentasi / Formatif – produk tulisan teks naratif</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16</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 September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 – Buku Jendela Dunia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5.2.4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menulis, peserta didik dapat menulis teks naratif sederhana dengan unsur intrinsik seperti dialog untuk menarik pembaca.</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Teks naratif sederhana dengan unsur dialog</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produk tulisan teks naratif</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17</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7 September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 – Buku Jendela Dunia / Lintas Bab I–II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Evaluasi capaian pembelajaran Bab II; Materi Bab I dan Bab II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Sumatif Bab II – tes tertulis / Penilaian Tengah Semester – tes tertulis</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18</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9 September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Lintas Bab I–II / Bab III – Ekspresi Diri melalui Hobi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5.3.1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petunjuk pembuatan karya (misalnya origami) yang diberikan dengan saksama, peserta didik dapat memahami dan menganalisis petunjuk untuk menemukan langkah yang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Materi Bab I dan Bab II; Teks prosedur lisan: petunjuk pembuatan karya</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Penilaian Tengah Semester – tes tertulis / Formatif – lembar kerja urutan langkah prosedur</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19</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14 September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III – Ekspresi Diri melalui Hobi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5.3.1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petunjuk pembuatan karya (misalnya origami) yang diberikan dengan saksama, peserta didik dapat memahami dan menganalisis petunjuk untuk menemukan langkah yang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Teks prosedur lisan: petunjuk pembuatan karya</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urutan langkah prosedur</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20</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16 September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III – Ekspresi Diri melalui Hobi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5.3.1, 5.3.2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petunjuk pembuatan karya (misalnya origami) yang diberikan dengan saksama, peserta didik dapat memahami dan menganalisis petunjuk untuk menemukan langkah yang tepat. Melalui kegiatan membaca teks prosedur tentang hobi, peserta didik dapat memahami definisi, tujuan, ciri-ciri, dan struktur teks prosedur dengan benar.</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Teks prosedur lisan: petunjuk pembuatan karya; Definisi, tujuan, ciri, dan struktur teks prosedur</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urutan langkah prosedur / Formatif – lembar kerja analisis struktur teks prosedur</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21</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21 September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III – Ekspresi Diri melalui Hobi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5.3.2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teks prosedur tentang hobi, peserta didik dapat memahami definisi, tujuan, ciri-ciri, dan struktur teks prosedur dengan benar.</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Definisi, tujuan, ciri, dan struktur teks prosedur</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analisis struktur teks prosedur</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22</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23 September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III – Ekspresi Diri melalui Hobi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5.3.2, 5.3.3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teks prosedur tentang hobi, peserta didik dapat memahami definisi, tujuan, ciri-ciri, dan struktur teks prosedur dengan benar. Melalui kegiatan bercerita, peserta didik dapat menceritakan hobi yang dimiliki dengan runut menggunakan bantuan pertanyaan panduan.</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Definisi, tujuan, ciri, dan struktur teks prosedur; Bercerita tentang hobi dengan pertanyaan panduan</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analisis struktur teks prosedur / Formatif – praktik unjuk kerja bercerita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23</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28 September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III – Ekspresi Diri melalui Hobi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5.3.3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bercerita, peserta didik dapat menceritakan hobi yang dimiliki dengan runut menggunakan bantuan pertanyaan panduan.</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Bercerita tentang hobi dengan pertanyaan panduan</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bercerita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24</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30 September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III – Ekspresi Diri melalui Hobi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5.3.3, 5.3.4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bercerita, peserta didik dapat menceritakan hobi yang dimiliki dengan runut menggunakan bantuan pertanyaan panduan. Melalui kegiatan menulis, peserta didik dapat menulis teks prosedur sederhana tentang hobi yang dimiliki dengan bantuan pendukung visual.</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Bercerita tentang hobi dengan pertanyaan panduan; Teks prosedur sederhana tentang hobi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bercerita / Formatif – produk tulisan teks prosedur bergambar</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25</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5 Oktober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III – Ekspresi Diri melalui Hobi</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5.3.4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menulis, peserta didik dapat menulis teks prosedur sederhana tentang hobi yang dimiliki dengan bantuan pendukung visual.</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Teks prosedur sederhana tentang hobi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produk tulisan teks prosedur bergambar</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26</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7 Oktober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III – Ekspresi Diri melalui Hobi / Bab IV – Belajar Berwirausaha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5.4.1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teks wawancara yang dibacakan, peserta didik dapat menemukan dan mengidentifikasi informasi pada teks informasional dengan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Evaluasi capaian pembelajaran Bab III; Informasi pada teks wawancara</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Sumatif Bab III – tes tertulis / Formatif – lembar kerja identifikasi informasi wawancara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27</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12 Oktober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IV – Belajar Berwirausaha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5.4.1</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teks wawancara yang dibacakan, peserta didik dapat menemukan dan mengidentifikasi informasi pada teks informasional dengan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Informasi pada teks wawancara</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identifikasi informasi wawancara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28</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14 Oktober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IV – Belajar Berwirausaha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5.4.1, 5.4.2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menyimak teks wawancara yang dibacakan, peserta didik dapat menemukan dan mengidentifikasi informasi pada teks informasional dengan tepat. Melalui kegiatan membaca tabel hasil survei, peserta didik dapat memahami informasi dalam tabel dan menentukan tindak lanjut berdasarkan data dengan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Informasi pada teks wawancara; Membaca tabel hasil survei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identifikasi informasi wawancara / Formatif – lembar kerja interpretasi data tabel</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29</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19 Oktober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IV – Belajar Berwirausaha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5.4.2</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tabel hasil survei, peserta didik dapat memahami informasi dalam tabel dan menentukan tindak lanjut berdasarkan data dengan tepat.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Membaca tabel hasil survei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interpretasi data tabel</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30</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21 Oktober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IV – Belajar Berwirausaha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5.4.2, 5.4.3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membaca tabel hasil survei, peserta didik dapat memahami informasi dalam tabel dan menentukan tindak lanjut berdasarkan data dengan tepat. Melalui kegiatan wawancara dengan narasumber, peserta didik dapat mengajukan pertanyaan menggunakan kata tanya (apa, di mana, kapan, siapa, mengapa, bagaimana) dengan santun.</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Membaca tabel hasil survei; Kata tanya dan teknik wawancara narasumber</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lembar kerja interpretasi data tabel / Formatif – praktik unjuk kerja wawancara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31</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26 Oktober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IV – Belajar Berwirausaha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5.4.3</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wawancara dengan narasumber, peserta didik dapat mengajukan pertanyaan menggunakan kata tanya (apa, di mana, kapan, siapa, mengapa, bagaimana) dengan santun.</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Kata tanya dan teknik wawancara narasumber</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wawancara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32</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28 Oktober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IV – Belajar Berwirausaha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5.4.3, 5.4.4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wawancara dengan narasumber, peserta didik dapat mengajukan pertanyaan menggunakan kata tanya (apa, di mana, kapan, siapa, mengapa, bagaimana) dengan santun. Melalui kegiatan menulis, peserta didik dapat menulis laporan hasil wawancara secara deskriptif dengan runtut.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Kata tanya dan teknik wawancara narasumber; Laporan hasil wawancara</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praktik unjuk kerja wawancara / Formatif – produk tulisan laporan wawancara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33</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2 November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IV – Belajar Berwirausaha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5.4.4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menulis, peserta didik dapat menulis laporan hasil wawancara secara deskriptif dengan runtut.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Laporan hasil wawancara</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produk tulisan laporan wawancara</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34</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4 November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Bab IV – Belajar Berwirausaha</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5.4.4</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Melalui kegiatan menulis, peserta didik dapat menulis laporan hasil wawancara secara deskriptif dengan runtut.</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Laporan hasil wawancara; Evaluasi capaian pembelajaran Bab IV</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Formatif – produk tulisan laporan wawancara / Sumatif Bab IV – tes tertulis</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35</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9 November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Lintas Bab</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Pengayaan/remedial materi Semester 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36</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11 November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Lintas Bab</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Pengayaan/remedial materi Semester 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37</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Senin, 16 November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Lintas Bab I–IV</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Materi Bab I–IV Semester 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Penilaian Akhir Semester – tes tertulis</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r>
        <w:tc>
          <w:tcPr>
            <w:tcW w:type="dxa" w:w="578"/>
            <w:tcMar>
              <w:top w:type="dxa" w:w="50"/>
              <w:left w:type="dxa" w:w="60"/>
              <w:bottom w:type="dxa" w:w="50"/>
              <w:right w:type="dxa" w:w="60"/>
            </w:tcMar>
            <w:vAlign w:val="center"/>
          </w:tcPr>
          <w:p>
            <w:pPr>
              <w:jc w:val="center"/>
            </w:pPr>
            <w:r>
              <w:rPr>
                <w:b w:val="false"/>
                <w:bCs w:val="false"/>
                <w:i w:val="false"/>
                <w:iCs w:val="false"/>
                <w:sz w:val="14"/>
                <w:szCs w:val="14"/>
              </w:rPr>
              <w:t xml:space="preserve">38</w:t>
            </w:r>
          </w:p>
        </w:tc>
        <w:tc>
          <w:tcPr>
            <w:tcW w:type="dxa" w:w="1734"/>
            <w:tcMar>
              <w:top w:type="dxa" w:w="50"/>
              <w:left w:type="dxa" w:w="60"/>
              <w:bottom w:type="dxa" w:w="50"/>
              <w:right w:type="dxa" w:w="60"/>
            </w:tcMar>
            <w:vAlign w:val="center"/>
          </w:tcPr>
          <w:p>
            <w:pPr>
              <w:jc w:val="left"/>
            </w:pPr>
            <w:r>
              <w:rPr>
                <w:b w:val="false"/>
                <w:bCs w:val="false"/>
                <w:i w:val="false"/>
                <w:iCs w:val="false"/>
                <w:sz w:val="13"/>
                <w:szCs w:val="13"/>
              </w:rPr>
              <w:t xml:space="preserve">Rabu, 18 November 2026</w:t>
            </w:r>
          </w:p>
        </w:tc>
        <w:tc>
          <w:tcPr>
            <w:tcW w:type="dxa" w:w="1156"/>
            <w:tcMar>
              <w:top w:type="dxa" w:w="50"/>
              <w:left w:type="dxa" w:w="60"/>
              <w:bottom w:type="dxa" w:w="50"/>
              <w:right w:type="dxa" w:w="60"/>
            </w:tcMar>
            <w:vAlign w:val="center"/>
          </w:tcPr>
          <w:p>
            <w:pPr>
              <w:jc w:val="center"/>
            </w:pPr>
            <w:r>
              <w:rPr>
                <w:b w:val="false"/>
                <w:bCs w:val="false"/>
                <w:i w:val="false"/>
                <w:iCs w:val="false"/>
                <w:sz w:val="13"/>
                <w:szCs w:val="13"/>
              </w:rPr>
              <w:t xml:space="preserve">Bahasa Indonesia</w:t>
            </w:r>
          </w:p>
        </w:tc>
        <w:tc>
          <w:tcPr>
            <w:tcW w:type="dxa" w:w="2023"/>
            <w:tcMar>
              <w:top w:type="dxa" w:w="50"/>
              <w:left w:type="dxa" w:w="60"/>
              <w:bottom w:type="dxa" w:w="50"/>
              <w:right w:type="dxa" w:w="60"/>
            </w:tcMar>
            <w:vAlign w:val="center"/>
          </w:tcPr>
          <w:p>
            <w:pPr>
              <w:jc w:val="left"/>
            </w:pPr>
            <w:r>
              <w:rPr>
                <w:b w:val="false"/>
                <w:bCs w:val="false"/>
                <w:i w:val="false"/>
                <w:iCs w:val="false"/>
                <w:sz w:val="13"/>
                <w:szCs w:val="13"/>
              </w:rPr>
              <w:t xml:space="preserve">Lintas Bab I–IV</w:t>
            </w:r>
          </w:p>
        </w:tc>
        <w:tc>
          <w:tcPr>
            <w:tcW w:type="dxa" w:w="867"/>
            <w:tcMar>
              <w:top w:type="dxa" w:w="50"/>
              <w:left w:type="dxa" w:w="60"/>
              <w:bottom w:type="dxa" w:w="50"/>
              <w:right w:type="dxa" w:w="60"/>
            </w:tcMar>
            <w:vAlign w:val="center"/>
          </w:tcPr>
          <w:p>
            <w:pPr>
              <w:jc w:val="center"/>
            </w:pPr>
            <w:r>
              <w:rPr>
                <w:b w:val="false"/>
                <w:bCs w:val="false"/>
                <w:i w:val="false"/>
                <w:iCs w:val="false"/>
                <w:sz w:val="13"/>
                <w:szCs w:val="13"/>
              </w:rPr>
              <w:t xml:space="preserve">-</w:t>
            </w:r>
          </w:p>
        </w:tc>
        <w:tc>
          <w:tcPr>
            <w:tcW w:type="dxa" w:w="3121"/>
            <w:tcMar>
              <w:top w:type="dxa" w:w="50"/>
              <w:left w:type="dxa" w:w="60"/>
              <w:bottom w:type="dxa" w:w="50"/>
              <w:right w:type="dxa" w:w="60"/>
            </w:tcMar>
            <w:vAlign w:val="center"/>
          </w:tcPr>
          <w:p>
            <w:pPr>
              <w:jc w:val="left"/>
            </w:pPr>
            <w:r>
              <w:rPr>
                <w:b w:val="false"/>
                <w:bCs w:val="false"/>
                <w:i w:val="false"/>
                <w:iCs w:val="false"/>
                <w:sz w:val="12"/>
                <w:szCs w:val="12"/>
              </w:rPr>
              <w:t xml:space="preserve">-</w:t>
            </w:r>
          </w:p>
        </w:tc>
        <w:tc>
          <w:tcPr>
            <w:tcW w:type="dxa" w:w="2196"/>
            <w:tcMar>
              <w:top w:type="dxa" w:w="50"/>
              <w:left w:type="dxa" w:w="60"/>
              <w:bottom w:type="dxa" w:w="50"/>
              <w:right w:type="dxa" w:w="60"/>
            </w:tcMar>
            <w:vAlign w:val="center"/>
          </w:tcPr>
          <w:p>
            <w:pPr>
              <w:jc w:val="left"/>
            </w:pPr>
            <w:r>
              <w:rPr>
                <w:b w:val="false"/>
                <w:bCs w:val="false"/>
                <w:i w:val="false"/>
                <w:iCs w:val="false"/>
                <w:sz w:val="13"/>
                <w:szCs w:val="13"/>
              </w:rPr>
              <w:t xml:space="preserve">Materi Bab I–IV Semester I</w:t>
            </w:r>
          </w:p>
        </w:tc>
        <w:tc>
          <w:tcPr>
            <w:tcW w:type="dxa" w:w="2196"/>
            <w:tcMar>
              <w:top w:type="dxa" w:w="50"/>
              <w:left w:type="dxa" w:w="60"/>
              <w:bottom w:type="dxa" w:w="50"/>
              <w:right w:type="dxa" w:w="60"/>
            </w:tcMar>
            <w:vAlign w:val="center"/>
          </w:tcPr>
          <w:p>
            <w:pPr>
              <w:jc w:val="left"/>
            </w:pPr>
            <w:r>
              <w:rPr>
                <w:b w:val="false"/>
                <w:bCs w:val="false"/>
                <w:i w:val="false"/>
                <w:iCs w:val="false"/>
                <w:sz w:val="12"/>
                <w:szCs w:val="12"/>
              </w:rPr>
              <w:t xml:space="preserve">Penilaian Akhir Semester – tes tertulis</w:t>
            </w:r>
          </w:p>
        </w:tc>
        <w:tc>
          <w:tcPr>
            <w:tcW w:type="dxa" w:w="1965"/>
            <w:tcMar>
              <w:top w:type="dxa" w:w="50"/>
              <w:left w:type="dxa" w:w="60"/>
              <w:bottom w:type="dxa" w:w="50"/>
              <w:right w:type="dxa" w:w="60"/>
            </w:tcMar>
            <w:vAlign w:val="center"/>
          </w:tcPr>
          <w:p>
            <w:pPr>
              <w:jc w:val="left"/>
            </w:pPr>
            <w:r>
              <w:rPr>
                <w:b w:val="false"/>
                <w:bCs w:val="false"/>
                <w:i w:val="false"/>
                <w:iCs w:val="false"/>
                <w:sz w:val="13"/>
                <w:szCs w:val="13"/>
              </w:rPr>
              <w:t xml:space="preserve"/>
            </w:r>
          </w:p>
        </w:tc>
      </w:tr>
    </w:tbl>
    <w:p>
      <w:pPr>
        <w:spacing w:after="120"/>
      </w:pPr>
    </w:p>
    <w:p>
      <w:pPr>
        <w:spacing w:after="20"/>
      </w:pPr>
      <w:r>
        <w:rPr>
          <w:b/>
          <w:bCs/>
          <w:i/>
          <w:iCs/>
          <w:sz w:val="17"/>
          <w:szCs w:val="17"/>
        </w:rPr>
        <w:t xml:space="preserve">Catatan:</w:t>
      </w:r>
    </w:p>
    <w:p>
      <w:pPr>
        <w:spacing w:after="20"/>
      </w:pPr>
      <w:r>
        <w:rPr>
          <w:i/>
          <w:iCs/>
          <w:sz w:val="17"/>
          <w:szCs w:val="17"/>
        </w:rPr>
        <w:t xml:space="preserve">1. Tanggal pertemuan merupakan estimasi berdasarkan kalender akademik (minggu efektif dimulai Senin, 13 Juli 2026) dan dapat disesuaikan dengan kalender pendidikan resmi satuan pendidikan.</w:t>
      </w:r>
    </w:p>
    <w:p>
      <w:pPr>
        <w:spacing w:after="20"/>
      </w:pPr>
      <w:r>
        <w:rPr>
          <w:i/>
          <w:iCs/>
          <w:sz w:val="17"/>
          <w:szCs w:val="17"/>
        </w:rPr>
        <w:t xml:space="preserve">2. Kolom "Jurnal Reflektif" diisi oleh guru setelah pembelajaran berlangsung, memuat catatan keterlaksanaan, kendala, dan tindak lanjut pembelajaran.</w:t>
      </w:r>
    </w:p>
    <w:p>
      <w:pPr>
        <w:spacing w:after="240"/>
      </w:pPr>
      <w:r>
        <w:rPr>
          <w:i/>
          <w:iCs/>
          <w:sz w:val="17"/>
          <w:szCs w:val="17"/>
        </w:rPr>
        <w:t xml:space="preserve">3. Urutan materi dan alokasi waktu mengikuti Program Semester (Prosem) Bahasa Indonesia Kelas V Semester I yang telah disusun sebelumnya.</w:t>
      </w:r>
    </w:p>
    <w:tbl>
      <w:tblPr>
        <w:tblW w:type="dxa" w:w="15839"/>
        <w:tblBorders>
          <w:top w:val="single" w:color="auto" w:sz="4"/>
          <w:left w:val="single" w:color="auto" w:sz="4"/>
          <w:bottom w:val="single" w:color="auto" w:sz="4"/>
          <w:right w:val="single" w:color="auto" w:sz="4"/>
          <w:insideH w:val="single" w:color="auto" w:sz="4"/>
          <w:insideV w:val="single" w:color="auto" w:sz="4"/>
        </w:tblBorders>
      </w:tblPr>
      <w:tblGrid>
        <w:gridCol w:w="7919"/>
        <w:gridCol w:w="7919"/>
      </w:tblGrid>
      <w:tr>
        <w:tc>
          <w:tcPr>
            <w:tcW w:type="dxa" w:w="7919"/>
            <w:tcBorders>
              <w:top w:val="none" w:color="FFFFFF" w:sz="0"/>
              <w:left w:val="none" w:color="FFFFFF" w:sz="0"/>
              <w:bottom w:val="none" w:color="FFFFFF" w:sz="0"/>
              <w:right w:val="none" w:color="FFFFFF" w:sz="0"/>
            </w:tcBorders>
          </w:tcPr>
          <w:p>
            <w:r>
              <w:rPr>
                <w:sz w:val="20"/>
                <w:szCs w:val="20"/>
              </w:rPr>
              <w:t xml:space="preserve">Mengetahui,</w:t>
            </w:r>
          </w:p>
          <w:p>
            <w:r>
              <w:rPr>
                <w:sz w:val="20"/>
                <w:szCs w:val="20"/>
              </w:rPr>
              <w:t xml:space="preserve">Kepala Sekolah</w:t>
            </w:r>
          </w:p>
          <w:p/>
          <w:p/>
          <w:p>
            <w:r>
              <w:rPr>
                <w:b/>
                <w:bCs/>
                <w:sz w:val="20"/>
                <w:szCs w:val="20"/>
                <w:u w:val="single"/>
              </w:rPr>
              <w:t xml:space="preserve">Data Belum Terisi</w:t>
            </w:r>
          </w:p>
          <w:p>
            <w:r>
              <w:rPr>
                <w:sz w:val="20"/>
                <w:szCs w:val="20"/>
              </w:rPr>
              <w:t xml:space="preserve">NIP. Data Belum Terisi</w:t>
            </w:r>
          </w:p>
        </w:tc>
        <w:tc>
          <w:tcPr>
            <w:tcW w:type="dxa" w:w="7919"/>
            <w:tcBorders>
              <w:top w:val="none" w:color="FFFFFF" w:sz="0"/>
              <w:left w:val="none" w:color="FFFFFF" w:sz="0"/>
              <w:bottom w:val="none" w:color="FFFFFF" w:sz="0"/>
              <w:right w:val="none" w:color="FFFFFF" w:sz="0"/>
            </w:tcBorders>
          </w:tcPr>
          <w:p>
            <w:r>
              <w:rPr>
                <w:sz w:val="20"/>
                <w:szCs w:val="20"/>
              </w:rPr>
              <w:t xml:space="preserve">Pontianak Utara, Juli 2026</w:t>
            </w:r>
          </w:p>
          <w:p>
            <w:r>
              <w:rPr>
                <w:sz w:val="20"/>
                <w:szCs w:val="20"/>
              </w:rPr>
              <w:t xml:space="preserve">Guru Mata Pelajaran</w:t>
            </w:r>
          </w:p>
          <w:p/>
          <w:p/>
          <w:p>
            <w:r>
              <w:rPr>
                <w:b/>
                <w:bCs/>
                <w:sz w:val="20"/>
                <w:szCs w:val="20"/>
                <w:u w:val="single"/>
              </w:rPr>
              <w:t xml:space="preserve">Data Belum Terisi</w:t>
            </w:r>
          </w:p>
          <w:p>
            <w:r>
              <w:rPr>
                <w:sz w:val="20"/>
                <w:szCs w:val="20"/>
              </w:rPr>
              <w:t xml:space="preserve">NIP. Data Belum Terisi</w:t>
            </w:r>
          </w:p>
        </w:tc>
      </w:tr>
    </w:tbl>
    <w:sectPr>
      <w:pgSz w:w="16839" w:h="11907" w:orient="landscape"/>
      <w:pgMar w:top="500" w:right="500" w:bottom="500" w:left="5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2026-09-20T10:13:00.249Z</dcterms:created>
  <dcterms:modified xsi:type="dcterms:W3CDTF">2026-09-20T10:13:00.249Z</dcterms:modified>
</cp:coreProperties>
</file>

<file path=docProps/custom.xml><?xml version="1.0" encoding="utf-8"?>
<Properties xmlns="http://schemas.openxmlformats.org/officeDocument/2006/custom-properties" xmlns:vt="http://schemas.openxmlformats.org/officeDocument/2006/docPropsVTypes"/>
</file>