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880"/>
      </w:pPr>
      <w:r>
        <w:rPr>
          <w:rFonts w:ascii="Arial" w:cs="Arial" w:eastAsia="Arial" w:hAnsi="Arial"/>
          <w:b/>
          <w:bCs/>
          <w:caps/>
          <w:color w:val="1454E6"/>
          <w:spacing w:val="60"/>
          <w:sz w:val="20"/>
          <w:szCs w:val="20"/>
        </w:rPr>
        <w:t xml:space="preserve">PALLIS.AI INC.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D0D0B"/>
          <w:sz w:val="56"/>
          <w:szCs w:val="56"/>
        </w:rPr>
        <w:t xml:space="preserve">Security Overview</w:t>
      </w:r>
    </w:p>
    <w:p>
      <w:pPr>
        <w:spacing w:after="480"/>
      </w:pPr>
      <w:r>
        <w:rPr>
          <w:rFonts w:ascii="Arial" w:cs="Arial" w:eastAsia="Arial" w:hAnsi="Arial"/>
          <w:color w:val="5A5A58"/>
          <w:sz w:val="26"/>
          <w:szCs w:val="26"/>
        </w:rPr>
        <w:t xml:space="preserve">Architecture, controls, and compliance posture</w:t>
      </w:r>
    </w:p>
    <w:p>
      <w:pPr>
        <w:pBdr>
          <w:bottom w:val="single" w:color="1454E6" w:sz="8" w:space="4"/>
        </w:pBdr>
        <w:spacing w:after="6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60"/>
      </w:pPr>
      <w:r>
        <w:rPr>
          <w:rFonts w:ascii="Arial" w:cs="Arial" w:eastAsia="Arial" w:hAnsi="Arial"/>
          <w:color w:val="5A5A58"/>
          <w:sz w:val="18"/>
          <w:szCs w:val="18"/>
        </w:rPr>
        <w:t xml:space="preserve">Version 1.0</w:t>
      </w:r>
    </w:p>
    <w:p>
      <w:pPr>
        <w:spacing w:after="60"/>
      </w:pPr>
      <w:r>
        <w:rPr>
          <w:rFonts w:ascii="Arial" w:cs="Arial" w:eastAsia="Arial" w:hAnsi="Arial"/>
          <w:color w:val="5A5A58"/>
          <w:sz w:val="18"/>
          <w:szCs w:val="18"/>
        </w:rPr>
        <w:t xml:space="preserve">June 2026</w:t>
      </w:r>
    </w:p>
    <w:p>
      <w:pPr>
        <w:spacing w:after="60"/>
      </w:pPr>
      <w:r>
        <w:rPr>
          <w:rFonts w:ascii="Arial" w:cs="Arial" w:eastAsia="Arial" w:hAnsi="Arial"/>
          <w:color w:val="5A5A58"/>
          <w:sz w:val="18"/>
          <w:szCs w:val="18"/>
        </w:rPr>
        <w:t xml:space="preserve">Pallis.ai Inc.  |  Delaware  |  access@pallis.ai</w:t>
      </w:r>
    </w:p>
    <w:p>
      <w:r>
        <w:br/>
      </w:r>
    </w:p>
    <w:p>
      <w:pPr>
        <w:pStyle w:val="Heading1"/>
      </w:pPr>
      <w:r>
        <w:t xml:space="preserve">1. Executive Summary</w:t>
      </w:r>
    </w:p>
    <w:p>
      <w:pPr>
        <w:spacing w:after="160"/>
      </w:pPr>
      <w:r>
        <w:t xml:space="preserve">Pallis.ai Inc. operates a multi-tenant intelligence platform for the insurance and financial services sector. Security is architectural — not bolted on. This document summarises Pallis's security posture, infrastructure controls, and compliance roadmap for the benefit of prospective and existing customers conducting procurement due diligence.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2. Infrastructure Architecture</w:t>
      </w:r>
    </w:p>
    <w:p>
      <w:pPr>
        <w:pStyle w:val="Heading2"/>
      </w:pPr>
      <w:r>
        <w:t xml:space="preserve">2.1 Data Residency</w:t>
      </w:r>
    </w:p>
    <w:p>
      <w:pPr>
        <w:spacing w:after="160"/>
      </w:pPr>
      <w:r>
        <w:t xml:space="preserve">All customer data is stored and processed exclusively within the United States. Pallis does not transfer data outside the US.</w:t>
      </w:r>
    </w:p>
    <w:p>
      <w:pPr>
        <w:pStyle w:val="Heading2"/>
      </w:pPr>
      <w:r>
        <w:t xml:space="preserve">2.2 Database Layer — Supabase (PostgreSQL)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Managed PostgreSQL hosted by Supabase Inc. on AWS US-East infrastructure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Row-Level Security (RLS) enforced at the database layer — every query is scoped to the authenticated tenant's org_id, making cross-tenant data access architecturally impossible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All data encrypted at rest (AES-256) and in transit (TLS 1.3)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Automated daily backups with point-in-time recovery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Database access restricted to application service role and authorised Pallis engineers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2.3 Application Layer — Cloudflare Pages + Functions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Application served via Cloudflare Pages with global CDN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API functions deployed as Cloudflare Workers — stateless, isolated execution environments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Bot Fight Mode, DDoS protection, and WAF enabled at the edge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All secrets (API keys, database credentials) stored as encrypted Cloudflare environment variables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 secrets committed to source code or exposed to the client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2.4 AI Inference — Anthropic Claude API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AI queries routed via a Cloudflare proxy — Anthropic API key is never exposed to the client browser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Queries submitted to Claude do not include raw PII — data is summarised or anonymised before AI invocation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Anthropic's enterprise API is used with zero data retention (ZDR) mode enabled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3. Access Controls</w:t>
      </w:r>
    </w:p>
    <w:p>
      <w:pPr>
        <w:pStyle w:val="Heading2"/>
      </w:pPr>
      <w:r>
        <w:t xml:space="preserve">3.1 Authentication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Supabase Auth with JWT-based session management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Session timeout enforced (configurable, default 8 hours of inactivity)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Invite-only access — no self-registration without an authorised invite token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Passwords hashed using bcrypt with cost factor 10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3.2 Authorisation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Role-Based Access Control (RBAC): Admin, Underwriter, Claims, Compliance, Read-only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Permissions enforced at both the application layer and database layer (RLS policies)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Pallis staff access to customer tenant data requires explicit support mode activation logged in audit trail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Multi-tenant isolation: no customer can access another customer's data under any circumstances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3.3 Employee Access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Pallis engineers access the production database only via authenticated Supabase Studio sessions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All production access is logged and subject to periodic access review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Principle of least privilege applied to all service accounts and employee credentials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4. Audit and Monitoring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Immutable audit log records every create, update, delete, and export action within the platform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Audit log includes: user_id, org_id, action type, affected record, timestamp, and IP address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Audit log is append-only and cannot be modified or deleted by any user, including platform administrators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Feature usage tracking captures every screen navigation and key action for anomaly detection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Cloudflare Workers logs provide edge-level request and error visibility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5. Incident Response</w:t>
      </w:r>
    </w:p>
    <w:p>
      <w:pPr>
        <w:pStyle w:val="Heading2"/>
      </w:pPr>
      <w:r>
        <w:t xml:space="preserve">5.1 Detection</w:t>
      </w:r>
    </w:p>
    <w:p>
      <w:pPr>
        <w:spacing w:after="160"/>
      </w:pPr>
      <w:r>
        <w:t xml:space="preserve">Security events are detected via Supabase monitoring alerts, Cloudflare security events, and periodic internal review of audit logs and access patterns.</w:t>
      </w:r>
    </w:p>
    <w:p>
      <w:pPr>
        <w:pStyle w:val="Heading2"/>
      </w:pPr>
      <w:r>
        <w:t xml:space="preserve">5.2 Response Procedure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Incident detected and classified (P1–P4 per SLA severity matrix)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Incident owner assigned within 1 hour of detection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Containment actions initiated (account suspension, credential rotation, network isolation as appropriate)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Customer notification within 72 hours if Personal Data is affected (per DPA Section 3.6)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Post-incident review and root cause analysis completed within 5 business days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Remediation implemented and verified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6. Vulnerability Management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Dependencies monitored for CVEs via automated scanning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Critical security patches applied within 24 hours; high-severity within 72 hours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Annual penetration test planned from 2027 (Q4 2026 for Enterprise tier)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Responsible disclosure contact: security@pallis.ai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7. Compliance Roadmap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760"/>
        <w:gridCol w:w="3000"/>
      </w:tblGrid>
      <w:tr>
        <w:trPr>
          <w:tblHeader/>
        </w:trPr>
        <w:tc>
          <w:tcPr>
            <w:tcW w:type="dxa" w:w="26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shd w:fill="1454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Standard</w:t>
            </w:r>
          </w:p>
        </w:tc>
        <w:tc>
          <w:tcPr>
            <w:tcW w:type="dxa" w:w="376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shd w:fill="1454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30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shd w:fill="1454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</w:tr>
      <w:tr>
        <w:tc>
          <w:tcPr>
            <w:tcW w:type="dxa" w:w="26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DPA</w:t>
            </w:r>
          </w:p>
        </w:tc>
        <w:tc>
          <w:tcPr>
            <w:tcW w:type="dxa" w:w="376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Complete — this document</w:t>
            </w:r>
          </w:p>
        </w:tc>
        <w:tc>
          <w:tcPr>
            <w:tcW w:type="dxa" w:w="30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54E6"/>
                <w:sz w:val="20"/>
                <w:szCs w:val="20"/>
              </w:rPr>
              <w:t xml:space="preserve">Available now</w:t>
            </w:r>
          </w:p>
        </w:tc>
      </w:tr>
      <w:tr>
        <w:tc>
          <w:tcPr>
            <w:tcW w:type="dxa" w:w="26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SLA</w:t>
            </w:r>
          </w:p>
        </w:tc>
        <w:tc>
          <w:tcPr>
            <w:tcW w:type="dxa" w:w="376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Complete — this document</w:t>
            </w:r>
          </w:p>
        </w:tc>
        <w:tc>
          <w:tcPr>
            <w:tcW w:type="dxa" w:w="30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54E6"/>
                <w:sz w:val="20"/>
                <w:szCs w:val="20"/>
              </w:rPr>
              <w:t xml:space="preserve">Available now</w:t>
            </w:r>
          </w:p>
        </w:tc>
      </w:tr>
      <w:tr>
        <w:tc>
          <w:tcPr>
            <w:tcW w:type="dxa" w:w="26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SOC 2 Type I</w:t>
            </w:r>
          </w:p>
        </w:tc>
        <w:tc>
          <w:tcPr>
            <w:tcW w:type="dxa" w:w="376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Controls implemented; audit preparation in progress</w:t>
            </w:r>
          </w:p>
        </w:tc>
        <w:tc>
          <w:tcPr>
            <w:tcW w:type="dxa" w:w="30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54E6"/>
                <w:sz w:val="20"/>
                <w:szCs w:val="20"/>
              </w:rPr>
              <w:t xml:space="preserve">Q2 2027</w:t>
            </w:r>
          </w:p>
        </w:tc>
      </w:tr>
      <w:tr>
        <w:tc>
          <w:tcPr>
            <w:tcW w:type="dxa" w:w="26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SOC 2 Type II</w:t>
            </w:r>
          </w:p>
        </w:tc>
        <w:tc>
          <w:tcPr>
            <w:tcW w:type="dxa" w:w="376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Observation period begins Q1 2027</w:t>
            </w:r>
          </w:p>
        </w:tc>
        <w:tc>
          <w:tcPr>
            <w:tcW w:type="dxa" w:w="30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54E6"/>
                <w:sz w:val="20"/>
                <w:szCs w:val="20"/>
              </w:rPr>
              <w:t xml:space="preserve">Q4 2027</w:t>
            </w:r>
          </w:p>
        </w:tc>
      </w:tr>
      <w:tr>
        <w:tc>
          <w:tcPr>
            <w:tcW w:type="dxa" w:w="26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Cyber Insurance</w:t>
            </w:r>
          </w:p>
        </w:tc>
        <w:tc>
          <w:tcPr>
            <w:tcW w:type="dxa" w:w="376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Evaluation in progress</w:t>
            </w:r>
          </w:p>
        </w:tc>
        <w:tc>
          <w:tcPr>
            <w:tcW w:type="dxa" w:w="30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54E6"/>
                <w:sz w:val="20"/>
                <w:szCs w:val="20"/>
              </w:rPr>
              <w:t xml:space="preserve">Q3 2026</w:t>
            </w:r>
          </w:p>
        </w:tc>
      </w:tr>
      <w:tr>
        <w:tc>
          <w:tcPr>
            <w:tcW w:type="dxa" w:w="26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ISO 27001</w:t>
            </w:r>
          </w:p>
        </w:tc>
        <w:tc>
          <w:tcPr>
            <w:tcW w:type="dxa" w:w="376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Planned post-Series A</w:t>
            </w:r>
          </w:p>
        </w:tc>
        <w:tc>
          <w:tcPr>
            <w:tcW w:type="dxa" w:w="300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54E6"/>
                <w:sz w:val="20"/>
                <w:szCs w:val="20"/>
              </w:rPr>
              <w:t xml:space="preserve">TBD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60"/>
      </w:pPr>
      <w:r>
        <w:t xml:space="preserve">Customers requiring SOC 2 Type II certification for immediate procurement may request a security questionnaire response from access@pallis.ai. Pallis will work directly with your security team to address specific requirements.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8.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Security incidents</w:t>
            </w:r>
          </w:p>
        </w:tc>
        <w:tc>
          <w:tcPr>
            <w:tcW w:type="dxa" w:w="624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454E6"/>
                <w:sz w:val="20"/>
                <w:szCs w:val="20"/>
              </w:rPr>
              <w:t xml:space="preserve">security@pallis.ai</w:t>
            </w:r>
          </w:p>
        </w:tc>
      </w:tr>
      <w:tr>
        <w:tc>
          <w:tcPr>
            <w:tcW w:type="dxa" w:w="312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 protection / DPA</w:t>
            </w:r>
          </w:p>
        </w:tc>
        <w:tc>
          <w:tcPr>
            <w:tcW w:type="dxa" w:w="624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454E6"/>
                <w:sz w:val="20"/>
                <w:szCs w:val="20"/>
              </w:rPr>
              <w:t xml:space="preserve">privacy@pallis.ai</w:t>
            </w:r>
          </w:p>
        </w:tc>
      </w:tr>
      <w:tr>
        <w:tc>
          <w:tcPr>
            <w:tcW w:type="dxa" w:w="312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General support</w:t>
            </w:r>
          </w:p>
        </w:tc>
        <w:tc>
          <w:tcPr>
            <w:tcW w:type="dxa" w:w="624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454E6"/>
                <w:sz w:val="20"/>
                <w:szCs w:val="20"/>
              </w:rPr>
              <w:t xml:space="preserve">support@pallis.ai</w:t>
            </w:r>
          </w:p>
        </w:tc>
      </w:tr>
      <w:tr>
        <w:tc>
          <w:tcPr>
            <w:tcW w:type="dxa" w:w="312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New client access</w:t>
            </w:r>
          </w:p>
        </w:tc>
        <w:tc>
          <w:tcPr>
            <w:tcW w:type="dxa" w:w="6240"/>
            <w:tcBorders>
              <w:top w:val="single" w:color="D9D9D7" w:sz="1"/>
              <w:left w:val="single" w:color="D9D9D7" w:sz="1"/>
              <w:bottom w:val="single" w:color="D9D9D7" w:sz="1"/>
              <w:right w:val="single" w:color="D9D9D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454E6"/>
                <w:sz w:val="20"/>
                <w:szCs w:val="20"/>
              </w:rPr>
              <w:t xml:space="preserve">access@pallis.ai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7" w:sz="4" w:space="4"/>
      </w:pBdr>
      <w:tabs>
        <w:tab w:val="right" w:pos="9026"/>
      </w:tabs>
      <w:spacing w:before="80"/>
    </w:pPr>
    <w:r>
      <w:rPr>
        <w:rFonts w:ascii="Arial" w:cs="Arial" w:eastAsia="Arial" w:hAnsi="Arial"/>
        <w:color w:val="5A5A58"/>
        <w:sz w:val="16"/>
        <w:szCs w:val="16"/>
      </w:rPr>
      <w:t xml:space="preserve">Confidential  |  pallis.ai</w:t>
    </w:r>
    <w:r>
      <w:rPr>
        <w:rFonts w:ascii="Arial" w:cs="Arial" w:eastAsia="Arial" w:hAnsi="Arial"/>
        <w:sz w:val="16"/>
        <w:szCs w:val="16"/>
      </w:rPr>
      <w:t xml:space="preserve">	</w:t>
    </w:r>
    <w:fldSimple w:instr="PAGE">
      <w:r>
        <w:rPr>
          <w:rFonts w:ascii="Arial" w:cs="Arial" w:eastAsia="Arial" w:hAnsi="Arial"/>
          <w:color w:val="5A5A58"/>
          <w:sz w:val="16"/>
          <w:szCs w:val="16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7" w:sz="4" w:space="4"/>
      </w:pBdr>
      <w:tabs>
        <w:tab w:val="right" w:pos="9026"/>
      </w:tabs>
      <w:spacing w:after="160"/>
    </w:pPr>
    <w:r>
      <w:rPr>
        <w:rFonts w:ascii="Arial" w:cs="Arial" w:eastAsia="Arial" w:hAnsi="Arial"/>
        <w:b/>
        <w:bCs/>
        <w:color w:val="1454E6"/>
        <w:sz w:val="16"/>
        <w:szCs w:val="16"/>
      </w:rPr>
      <w:t xml:space="preserve">PALLIS.AI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5A5A58"/>
        <w:sz w:val="16"/>
        <w:szCs w:val="16"/>
      </w:rPr>
      <w:t xml:space="preserve">Security Overview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 w15:tentative="1">
      <w:start w:val="1"/>
      <w:numFmt w:val="bullet"/>
      <w:lvlText w:val="–"/>
      <w:lvlJc w:val="left"/>
      <w:pPr>
        <w:ind w:left="1080" w:hanging="36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D0D0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454E6" w:sz="6" w:space="4"/>
      </w:pBdr>
      <w:spacing w:after="160" w:before="360"/>
      <w:outlineLvl w:val="0"/>
    </w:pPr>
    <w:rPr>
      <w:rFonts w:ascii="Arial" w:cs="Arial" w:eastAsia="Arial" w:hAnsi="Arial"/>
      <w:b/>
      <w:bCs/>
      <w:color w:val="0D0D0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0D0D0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5A5A5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2026-06-07T20:20:36.535Z</dcterms:created>
  <dcterms:modified xsi:type="dcterms:W3CDTF">2026-06-07T20:20:36.535Z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