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5c3vnp7pna8l" w:id="0"/>
      <w:bookmarkEnd w:id="0"/>
      <w:r w:rsidDel="00000000" w:rsidR="00000000" w:rsidRPr="00000000">
        <w:rPr>
          <w:rtl w:val="0"/>
        </w:rPr>
      </w:r>
    </w:p>
    <w:p w:rsidR="00000000" w:rsidDel="00000000" w:rsidP="00000000" w:rsidRDefault="00000000" w:rsidRPr="00000000" w14:paraId="00000002">
      <w:pPr>
        <w:pStyle w:val="Title"/>
        <w:rPr>
          <w:rFonts w:ascii="Open Sans ExtraBold" w:cs="Open Sans ExtraBold" w:eastAsia="Open Sans ExtraBold" w:hAnsi="Open Sans ExtraBold"/>
          <w:b w:val="0"/>
          <w:color w:val="2960a1"/>
          <w:sz w:val="54"/>
          <w:szCs w:val="54"/>
        </w:rPr>
      </w:pPr>
      <w:bookmarkStart w:colFirst="0" w:colLast="0" w:name="_qi0064nyewy5" w:id="1"/>
      <w:bookmarkEnd w:id="1"/>
      <w:r w:rsidDel="00000000" w:rsidR="00000000" w:rsidRPr="00000000">
        <w:rPr>
          <w:rFonts w:ascii="Open Sans ExtraBold" w:cs="Open Sans ExtraBold" w:eastAsia="Open Sans ExtraBold" w:hAnsi="Open Sans ExtraBold"/>
          <w:b w:val="0"/>
          <w:color w:val="2960a1"/>
          <w:sz w:val="54"/>
          <w:szCs w:val="54"/>
          <w:rtl w:val="0"/>
        </w:rPr>
        <w:t xml:space="preserve">Standard Operating Procedure (SOP) -Diversity and Inclusion</w:t>
      </w:r>
    </w:p>
    <w:p w:rsidR="00000000" w:rsidDel="00000000" w:rsidP="00000000" w:rsidRDefault="00000000" w:rsidRPr="00000000" w14:paraId="00000003">
      <w:pPr>
        <w:pStyle w:val="Heading1"/>
        <w:jc w:val="center"/>
        <w:rPr>
          <w:rFonts w:ascii="Open Sans ExtraBold" w:cs="Open Sans ExtraBold" w:eastAsia="Open Sans ExtraBold" w:hAnsi="Open Sans ExtraBold"/>
          <w:color w:val="2960a1"/>
          <w:sz w:val="54"/>
          <w:szCs w:val="54"/>
        </w:rPr>
      </w:pPr>
      <w:bookmarkStart w:colFirst="0" w:colLast="0" w:name="_a4yw1yl64zy9" w:id="2"/>
      <w:bookmarkEnd w:id="2"/>
      <w:r w:rsidDel="00000000" w:rsidR="00000000" w:rsidRPr="00000000">
        <w:rPr>
          <w:rFonts w:ascii="Open Sans ExtraBold" w:cs="Open Sans ExtraBold" w:eastAsia="Open Sans ExtraBold" w:hAnsi="Open Sans ExtraBold"/>
          <w:color w:val="2960a1"/>
          <w:sz w:val="54"/>
          <w:szCs w:val="54"/>
        </w:rPr>
        <w:drawing>
          <wp:inline distB="114300" distT="114300" distL="114300" distR="114300">
            <wp:extent cx="4600575" cy="32004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600575"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keepNext w:val="0"/>
        <w:keepLines w:val="0"/>
        <w:widowControl w:val="0"/>
        <w:spacing w:after="120" w:before="480" w:line="276" w:lineRule="auto"/>
        <w:jc w:val="left"/>
        <w:rPr>
          <w:rFonts w:ascii="Calibri" w:cs="Calibri" w:eastAsia="Calibri" w:hAnsi="Calibri"/>
          <w:sz w:val="36"/>
          <w:szCs w:val="36"/>
        </w:rPr>
      </w:pPr>
      <w:bookmarkStart w:colFirst="0" w:colLast="0" w:name="_30j0zll" w:id="3"/>
      <w:bookmarkEnd w:id="3"/>
      <w:r w:rsidDel="00000000" w:rsidR="00000000" w:rsidRPr="00000000">
        <w:rPr>
          <w:rFonts w:ascii="Open Sans" w:cs="Open Sans" w:eastAsia="Open Sans" w:hAnsi="Open Sans"/>
          <w:sz w:val="36"/>
          <w:szCs w:val="36"/>
          <w:rtl w:val="0"/>
        </w:rPr>
        <w:t xml:space="preserve">                             Validated for use by</w:t>
      </w: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jc w:val="center"/>
        <w:rPr>
          <w:rFonts w:ascii="Trebuchet MS" w:cs="Trebuchet MS" w:eastAsia="Trebuchet MS" w:hAnsi="Trebuchet MS"/>
          <w:sz w:val="32"/>
          <w:szCs w:val="32"/>
        </w:rPr>
      </w:pPr>
      <w:r w:rsidDel="00000000" w:rsidR="00000000" w:rsidRPr="00000000">
        <w:rPr>
          <w:rFonts w:ascii="Poppins" w:cs="Poppins" w:eastAsia="Poppins" w:hAnsi="Poppins"/>
          <w:b w:val="1"/>
          <w:sz w:val="48"/>
          <w:szCs w:val="48"/>
        </w:rPr>
        <w:drawing>
          <wp:inline distB="114300" distT="114300" distL="114300" distR="114300">
            <wp:extent cx="2043113" cy="108847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43113" cy="108847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8">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9">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A">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rFonts w:ascii="Trebuchet MS" w:cs="Trebuchet MS" w:eastAsia="Trebuchet MS" w:hAnsi="Trebuchet MS"/>
          <w:sz w:val="32"/>
          <w:szCs w:val="32"/>
          <w:rtl w:val="0"/>
        </w:rPr>
        <w:t xml:space="preserve">Purpose:</w:t>
      </w: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sz w:val="22"/>
          <w:szCs w:val="22"/>
          <w:rtl w:val="0"/>
        </w:rPr>
        <w:t xml:space="preserve">The purpose of this SOP is to outline the steps and best practices that our organization will take to promote diversity and inclusion in all aspects of our operations, with the goal of creating a more inclusive and equitable workplace.</w:t>
        <w:br w:type="textWrapping"/>
      </w:r>
    </w:p>
    <w:p w:rsidR="00000000" w:rsidDel="00000000" w:rsidP="00000000" w:rsidRDefault="00000000" w:rsidRPr="00000000" w14:paraId="0000000D">
      <w:pPr>
        <w:rPr>
          <w:sz w:val="22"/>
          <w:szCs w:val="22"/>
        </w:rPr>
      </w:pPr>
      <w:r w:rsidDel="00000000" w:rsidR="00000000" w:rsidRPr="00000000">
        <w:rPr>
          <w:rFonts w:ascii="Trebuchet MS" w:cs="Trebuchet MS" w:eastAsia="Trebuchet MS" w:hAnsi="Trebuchet MS"/>
          <w:sz w:val="32"/>
          <w:szCs w:val="32"/>
          <w:rtl w:val="0"/>
        </w:rPr>
        <w:t xml:space="preserve">Introduction:</w:t>
      </w: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sz w:val="22"/>
          <w:szCs w:val="22"/>
          <w:rtl w:val="0"/>
        </w:rPr>
        <w:t xml:space="preserve">Diversity and inclusion are integral to the success of our organization and are essential for creating an inclusive and equitable workplace. This SOP will provide guidance on how we will promote diversity and inclusion in all aspects of our operations, including recruitment, hiring, promotion, and employee retention.</w:t>
        <w:br w:type="textWrapping"/>
      </w:r>
    </w:p>
    <w:p w:rsidR="00000000" w:rsidDel="00000000" w:rsidP="00000000" w:rsidRDefault="00000000" w:rsidRPr="00000000" w14:paraId="0000000F">
      <w:pPr>
        <w:rPr>
          <w:sz w:val="22"/>
          <w:szCs w:val="22"/>
        </w:rPr>
      </w:pPr>
      <w:r w:rsidDel="00000000" w:rsidR="00000000" w:rsidRPr="00000000">
        <w:rPr>
          <w:rFonts w:ascii="Trebuchet MS" w:cs="Trebuchet MS" w:eastAsia="Trebuchet MS" w:hAnsi="Trebuchet MS"/>
          <w:sz w:val="32"/>
          <w:szCs w:val="32"/>
          <w:rtl w:val="0"/>
        </w:rPr>
        <w:t xml:space="preserve">Scope:</w:t>
      </w: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sz w:val="22"/>
          <w:szCs w:val="22"/>
          <w:rtl w:val="0"/>
        </w:rPr>
        <w:t xml:space="preserve">This SOP applies to all employees, contractors, and vendors of our organization. It covers all aspects of our operations, including recruitment, hiring, promotion, and employee retention.</w:t>
        <w:br w:type="textWrapping"/>
      </w:r>
    </w:p>
    <w:p w:rsidR="00000000" w:rsidDel="00000000" w:rsidP="00000000" w:rsidRDefault="00000000" w:rsidRPr="00000000" w14:paraId="00000011">
      <w:pPr>
        <w:rPr>
          <w:sz w:val="22"/>
          <w:szCs w:val="22"/>
        </w:rPr>
      </w:pPr>
      <w:r w:rsidDel="00000000" w:rsidR="00000000" w:rsidRPr="00000000">
        <w:rPr>
          <w:rFonts w:ascii="Trebuchet MS" w:cs="Trebuchet MS" w:eastAsia="Trebuchet MS" w:hAnsi="Trebuchet MS"/>
          <w:sz w:val="32"/>
          <w:szCs w:val="32"/>
          <w:rtl w:val="0"/>
        </w:rPr>
        <w:t xml:space="preserve">Definitions:</w:t>
      </w:r>
      <w:r w:rsidDel="00000000" w:rsidR="00000000" w:rsidRPr="00000000">
        <w:rPr>
          <w:rtl w:val="0"/>
        </w:rPr>
      </w:r>
    </w:p>
    <w:p w:rsidR="00000000" w:rsidDel="00000000" w:rsidP="00000000" w:rsidRDefault="00000000" w:rsidRPr="00000000" w14:paraId="00000012">
      <w:pPr>
        <w:numPr>
          <w:ilvl w:val="0"/>
          <w:numId w:val="2"/>
        </w:numPr>
        <w:ind w:left="720" w:hanging="360"/>
        <w:rPr>
          <w:sz w:val="22"/>
          <w:szCs w:val="22"/>
        </w:rPr>
      </w:pPr>
      <w:r w:rsidDel="00000000" w:rsidR="00000000" w:rsidRPr="00000000">
        <w:rPr>
          <w:sz w:val="22"/>
          <w:szCs w:val="22"/>
          <w:rtl w:val="0"/>
        </w:rPr>
        <w:t xml:space="preserve">Diversity: The representation of different groups of people in our organization, including but not limited to those based on race, ethnicity, gender, sexual orientation, age, ability, and socio-economic background.</w:t>
      </w:r>
    </w:p>
    <w:p w:rsidR="00000000" w:rsidDel="00000000" w:rsidP="00000000" w:rsidRDefault="00000000" w:rsidRPr="00000000" w14:paraId="00000013">
      <w:pPr>
        <w:numPr>
          <w:ilvl w:val="0"/>
          <w:numId w:val="2"/>
        </w:numPr>
        <w:ind w:left="720" w:hanging="360"/>
        <w:rPr>
          <w:sz w:val="22"/>
          <w:szCs w:val="22"/>
        </w:rPr>
      </w:pPr>
      <w:r w:rsidDel="00000000" w:rsidR="00000000" w:rsidRPr="00000000">
        <w:rPr>
          <w:sz w:val="22"/>
          <w:szCs w:val="22"/>
          <w:rtl w:val="0"/>
        </w:rPr>
        <w:t xml:space="preserve">Inclusion: The active and intentional integration of diversity into our operations and culture, including creating an environment that values and respects all individuals and promotes equitable opportunities.</w:t>
        <w:br w:type="textWrapping"/>
      </w:r>
    </w:p>
    <w:p w:rsidR="00000000" w:rsidDel="00000000" w:rsidP="00000000" w:rsidRDefault="00000000" w:rsidRPr="00000000" w14:paraId="00000014">
      <w:pPr>
        <w:rPr>
          <w:sz w:val="22"/>
          <w:szCs w:val="22"/>
        </w:rPr>
      </w:pPr>
      <w:r w:rsidDel="00000000" w:rsidR="00000000" w:rsidRPr="00000000">
        <w:rPr>
          <w:rFonts w:ascii="Trebuchet MS" w:cs="Trebuchet MS" w:eastAsia="Trebuchet MS" w:hAnsi="Trebuchet MS"/>
          <w:sz w:val="32"/>
          <w:szCs w:val="32"/>
          <w:rtl w:val="0"/>
        </w:rPr>
        <w:t xml:space="preserve">Responsibilities:</w:t>
      </w:r>
      <w:r w:rsidDel="00000000" w:rsidR="00000000" w:rsidRPr="00000000">
        <w:rPr>
          <w:rtl w:val="0"/>
        </w:rPr>
      </w:r>
    </w:p>
    <w:p w:rsidR="00000000" w:rsidDel="00000000" w:rsidP="00000000" w:rsidRDefault="00000000" w:rsidRPr="00000000" w14:paraId="00000015">
      <w:pPr>
        <w:numPr>
          <w:ilvl w:val="0"/>
          <w:numId w:val="1"/>
        </w:numPr>
        <w:ind w:left="720" w:hanging="360"/>
        <w:rPr>
          <w:sz w:val="22"/>
          <w:szCs w:val="22"/>
        </w:rPr>
      </w:pPr>
      <w:r w:rsidDel="00000000" w:rsidR="00000000" w:rsidRPr="00000000">
        <w:rPr>
          <w:sz w:val="22"/>
          <w:szCs w:val="22"/>
          <w:rtl w:val="0"/>
        </w:rPr>
        <w:t xml:space="preserve">All employees, contractors, and vendors of our organization are responsible for following the guidelines outlined in this SOP.</w:t>
      </w:r>
    </w:p>
    <w:p w:rsidR="00000000" w:rsidDel="00000000" w:rsidP="00000000" w:rsidRDefault="00000000" w:rsidRPr="00000000" w14:paraId="00000016">
      <w:pPr>
        <w:numPr>
          <w:ilvl w:val="0"/>
          <w:numId w:val="1"/>
        </w:numPr>
        <w:ind w:left="720" w:hanging="360"/>
        <w:rPr>
          <w:sz w:val="22"/>
          <w:szCs w:val="22"/>
        </w:rPr>
      </w:pPr>
      <w:r w:rsidDel="00000000" w:rsidR="00000000" w:rsidRPr="00000000">
        <w:rPr>
          <w:sz w:val="22"/>
          <w:szCs w:val="22"/>
          <w:rtl w:val="0"/>
        </w:rPr>
        <w:t xml:space="preserve">Managers and supervisors are responsible for implementing and enforcing the guidelines outlined in this SOP in their respective teams.</w:t>
      </w:r>
    </w:p>
    <w:p w:rsidR="00000000" w:rsidDel="00000000" w:rsidP="00000000" w:rsidRDefault="00000000" w:rsidRPr="00000000" w14:paraId="00000017">
      <w:pPr>
        <w:numPr>
          <w:ilvl w:val="0"/>
          <w:numId w:val="1"/>
        </w:numPr>
        <w:ind w:left="720" w:hanging="360"/>
        <w:rPr>
          <w:sz w:val="22"/>
          <w:szCs w:val="22"/>
        </w:rPr>
      </w:pPr>
      <w:r w:rsidDel="00000000" w:rsidR="00000000" w:rsidRPr="00000000">
        <w:rPr>
          <w:sz w:val="22"/>
          <w:szCs w:val="22"/>
          <w:rtl w:val="0"/>
        </w:rPr>
        <w:t xml:space="preserve">The human resources department is responsible for monitoring compliance with this SOP and providing support and guidance to managers and supervisors on the implementation of diversity and inclusion practices.</w:t>
        <w:br w:type="textWrapping"/>
      </w:r>
    </w:p>
    <w:p w:rsidR="00000000" w:rsidDel="00000000" w:rsidP="00000000" w:rsidRDefault="00000000" w:rsidRPr="00000000" w14:paraId="00000018">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rFonts w:ascii="Trebuchet MS" w:cs="Trebuchet MS" w:eastAsia="Trebuchet MS" w:hAnsi="Trebuchet MS"/>
          <w:sz w:val="32"/>
          <w:szCs w:val="32"/>
          <w:rtl w:val="0"/>
        </w:rPr>
        <w:t xml:space="preserve">Best Practices:</w:t>
      </w:r>
      <w:r w:rsidDel="00000000" w:rsidR="00000000" w:rsidRPr="00000000">
        <w:rPr>
          <w:rtl w:val="0"/>
        </w:rPr>
      </w:r>
    </w:p>
    <w:p w:rsidR="00000000" w:rsidDel="00000000" w:rsidP="00000000" w:rsidRDefault="00000000" w:rsidRPr="00000000" w14:paraId="0000001A">
      <w:pPr>
        <w:numPr>
          <w:ilvl w:val="0"/>
          <w:numId w:val="4"/>
        </w:numPr>
        <w:ind w:left="720" w:hanging="360"/>
        <w:rPr>
          <w:sz w:val="22"/>
          <w:szCs w:val="22"/>
        </w:rPr>
      </w:pPr>
      <w:r w:rsidDel="00000000" w:rsidR="00000000" w:rsidRPr="00000000">
        <w:rPr>
          <w:sz w:val="22"/>
          <w:szCs w:val="22"/>
          <w:rtl w:val="0"/>
        </w:rPr>
        <w:t xml:space="preserve">Ensure all recruitment, hiring, promotion, and retention practices are fair and equitable.</w:t>
      </w:r>
    </w:p>
    <w:p w:rsidR="00000000" w:rsidDel="00000000" w:rsidP="00000000" w:rsidRDefault="00000000" w:rsidRPr="00000000" w14:paraId="0000001B">
      <w:pPr>
        <w:numPr>
          <w:ilvl w:val="0"/>
          <w:numId w:val="4"/>
        </w:numPr>
        <w:ind w:left="720" w:hanging="360"/>
        <w:rPr>
          <w:sz w:val="22"/>
          <w:szCs w:val="22"/>
        </w:rPr>
      </w:pPr>
      <w:r w:rsidDel="00000000" w:rsidR="00000000" w:rsidRPr="00000000">
        <w:rPr>
          <w:sz w:val="22"/>
          <w:szCs w:val="22"/>
          <w:rtl w:val="0"/>
        </w:rPr>
        <w:t xml:space="preserve">Encourage diverse representation on teams and in leadership positions.</w:t>
      </w:r>
    </w:p>
    <w:p w:rsidR="00000000" w:rsidDel="00000000" w:rsidP="00000000" w:rsidRDefault="00000000" w:rsidRPr="00000000" w14:paraId="0000001C">
      <w:pPr>
        <w:numPr>
          <w:ilvl w:val="0"/>
          <w:numId w:val="4"/>
        </w:numPr>
        <w:ind w:left="720" w:hanging="360"/>
        <w:rPr>
          <w:sz w:val="22"/>
          <w:szCs w:val="22"/>
        </w:rPr>
      </w:pPr>
      <w:r w:rsidDel="00000000" w:rsidR="00000000" w:rsidRPr="00000000">
        <w:rPr>
          <w:sz w:val="22"/>
          <w:szCs w:val="22"/>
          <w:rtl w:val="0"/>
        </w:rPr>
        <w:t xml:space="preserve">Provide training and education on diversity and inclusion for all employees.</w:t>
      </w:r>
    </w:p>
    <w:p w:rsidR="00000000" w:rsidDel="00000000" w:rsidP="00000000" w:rsidRDefault="00000000" w:rsidRPr="00000000" w14:paraId="0000001D">
      <w:pPr>
        <w:numPr>
          <w:ilvl w:val="0"/>
          <w:numId w:val="4"/>
        </w:numPr>
        <w:ind w:left="720" w:hanging="360"/>
        <w:rPr>
          <w:sz w:val="22"/>
          <w:szCs w:val="22"/>
        </w:rPr>
      </w:pPr>
      <w:r w:rsidDel="00000000" w:rsidR="00000000" w:rsidRPr="00000000">
        <w:rPr>
          <w:sz w:val="22"/>
          <w:szCs w:val="22"/>
          <w:rtl w:val="0"/>
        </w:rPr>
        <w:t xml:space="preserve">Foster a culture of inclusion and respect by promoting open communication and actively addressing and preventing discrimination and harassment.</w:t>
      </w:r>
    </w:p>
    <w:p w:rsidR="00000000" w:rsidDel="00000000" w:rsidP="00000000" w:rsidRDefault="00000000" w:rsidRPr="00000000" w14:paraId="0000001E">
      <w:pPr>
        <w:numPr>
          <w:ilvl w:val="0"/>
          <w:numId w:val="4"/>
        </w:numPr>
        <w:ind w:left="720" w:hanging="360"/>
        <w:rPr>
          <w:sz w:val="22"/>
          <w:szCs w:val="22"/>
        </w:rPr>
      </w:pPr>
      <w:r w:rsidDel="00000000" w:rsidR="00000000" w:rsidRPr="00000000">
        <w:rPr>
          <w:sz w:val="22"/>
          <w:szCs w:val="22"/>
          <w:rtl w:val="0"/>
        </w:rPr>
        <w:t xml:space="preserve">Regularly review and evaluate our diversity and inclusion efforts to identify areas for improvement.</w:t>
        <w:br w:type="textWrapping"/>
      </w:r>
    </w:p>
    <w:p w:rsidR="00000000" w:rsidDel="00000000" w:rsidP="00000000" w:rsidRDefault="00000000" w:rsidRPr="00000000" w14:paraId="0000001F">
      <w:pPr>
        <w:rPr>
          <w:sz w:val="22"/>
          <w:szCs w:val="22"/>
        </w:rPr>
      </w:pPr>
      <w:r w:rsidDel="00000000" w:rsidR="00000000" w:rsidRPr="00000000">
        <w:rPr>
          <w:rFonts w:ascii="Trebuchet MS" w:cs="Trebuchet MS" w:eastAsia="Trebuchet MS" w:hAnsi="Trebuchet MS"/>
          <w:sz w:val="32"/>
          <w:szCs w:val="32"/>
          <w:rtl w:val="0"/>
        </w:rPr>
        <w:t xml:space="preserve">Steps:</w:t>
      </w:r>
      <w:r w:rsidDel="00000000" w:rsidR="00000000" w:rsidRPr="00000000">
        <w:rPr>
          <w:rtl w:val="0"/>
        </w:rPr>
      </w:r>
    </w:p>
    <w:p w:rsidR="00000000" w:rsidDel="00000000" w:rsidP="00000000" w:rsidRDefault="00000000" w:rsidRPr="00000000" w14:paraId="00000020">
      <w:pPr>
        <w:numPr>
          <w:ilvl w:val="0"/>
          <w:numId w:val="5"/>
        </w:numPr>
        <w:ind w:left="720" w:hanging="360"/>
        <w:rPr>
          <w:sz w:val="22"/>
          <w:szCs w:val="22"/>
        </w:rPr>
      </w:pPr>
      <w:r w:rsidDel="00000000" w:rsidR="00000000" w:rsidRPr="00000000">
        <w:rPr>
          <w:sz w:val="22"/>
          <w:szCs w:val="22"/>
          <w:rtl w:val="0"/>
        </w:rPr>
        <w:t xml:space="preserve">Review and update recruitment, hiring, promotion, and retention practices to ensure they are fair and equitable.</w:t>
      </w:r>
    </w:p>
    <w:p w:rsidR="00000000" w:rsidDel="00000000" w:rsidP="00000000" w:rsidRDefault="00000000" w:rsidRPr="00000000" w14:paraId="00000021">
      <w:pPr>
        <w:numPr>
          <w:ilvl w:val="0"/>
          <w:numId w:val="5"/>
        </w:numPr>
        <w:ind w:left="720" w:hanging="360"/>
        <w:rPr>
          <w:sz w:val="22"/>
          <w:szCs w:val="22"/>
        </w:rPr>
      </w:pPr>
      <w:r w:rsidDel="00000000" w:rsidR="00000000" w:rsidRPr="00000000">
        <w:rPr>
          <w:sz w:val="22"/>
          <w:szCs w:val="22"/>
          <w:rtl w:val="0"/>
        </w:rPr>
        <w:t xml:space="preserve">Encourage diverse representation in job candidates and on teams by actively recruiting from underrepresented groups and considering diverse candidates for leadership positions.</w:t>
      </w:r>
    </w:p>
    <w:p w:rsidR="00000000" w:rsidDel="00000000" w:rsidP="00000000" w:rsidRDefault="00000000" w:rsidRPr="00000000" w14:paraId="00000022">
      <w:pPr>
        <w:numPr>
          <w:ilvl w:val="0"/>
          <w:numId w:val="5"/>
        </w:numPr>
        <w:ind w:left="720" w:hanging="360"/>
        <w:rPr>
          <w:sz w:val="22"/>
          <w:szCs w:val="22"/>
        </w:rPr>
      </w:pPr>
      <w:r w:rsidDel="00000000" w:rsidR="00000000" w:rsidRPr="00000000">
        <w:rPr>
          <w:sz w:val="22"/>
          <w:szCs w:val="22"/>
          <w:rtl w:val="0"/>
        </w:rPr>
        <w:t xml:space="preserve">Provide diversity and inclusion training for all employees.</w:t>
      </w:r>
    </w:p>
    <w:p w:rsidR="00000000" w:rsidDel="00000000" w:rsidP="00000000" w:rsidRDefault="00000000" w:rsidRPr="00000000" w14:paraId="00000023">
      <w:pPr>
        <w:numPr>
          <w:ilvl w:val="0"/>
          <w:numId w:val="5"/>
        </w:numPr>
        <w:ind w:left="720" w:hanging="360"/>
        <w:rPr>
          <w:sz w:val="22"/>
          <w:szCs w:val="22"/>
        </w:rPr>
      </w:pPr>
      <w:r w:rsidDel="00000000" w:rsidR="00000000" w:rsidRPr="00000000">
        <w:rPr>
          <w:sz w:val="22"/>
          <w:szCs w:val="22"/>
          <w:rtl w:val="0"/>
        </w:rPr>
        <w:t xml:space="preserve">Foster a culture of inclusion by promoting open communication and actively addressing and preventing discrimination and harassment.</w:t>
      </w:r>
    </w:p>
    <w:p w:rsidR="00000000" w:rsidDel="00000000" w:rsidP="00000000" w:rsidRDefault="00000000" w:rsidRPr="00000000" w14:paraId="00000024">
      <w:pPr>
        <w:numPr>
          <w:ilvl w:val="0"/>
          <w:numId w:val="5"/>
        </w:numPr>
        <w:ind w:left="720" w:hanging="360"/>
        <w:rPr>
          <w:sz w:val="22"/>
          <w:szCs w:val="22"/>
        </w:rPr>
      </w:pPr>
      <w:r w:rsidDel="00000000" w:rsidR="00000000" w:rsidRPr="00000000">
        <w:rPr>
          <w:sz w:val="22"/>
          <w:szCs w:val="22"/>
          <w:rtl w:val="0"/>
        </w:rPr>
        <w:t xml:space="preserve">Regularly review and evaluate our diversity and inclusion efforts and identify areas for improvement.</w:t>
        <w:br w:type="textWrapping"/>
      </w:r>
    </w:p>
    <w:p w:rsidR="00000000" w:rsidDel="00000000" w:rsidP="00000000" w:rsidRDefault="00000000" w:rsidRPr="00000000" w14:paraId="00000025">
      <w:pPr>
        <w:rPr>
          <w:sz w:val="22"/>
          <w:szCs w:val="22"/>
        </w:rPr>
      </w:pPr>
      <w:r w:rsidDel="00000000" w:rsidR="00000000" w:rsidRPr="00000000">
        <w:rPr>
          <w:rFonts w:ascii="Trebuchet MS" w:cs="Trebuchet MS" w:eastAsia="Trebuchet MS" w:hAnsi="Trebuchet MS"/>
          <w:sz w:val="32"/>
          <w:szCs w:val="32"/>
          <w:rtl w:val="0"/>
        </w:rPr>
        <w:t xml:space="preserve">Risks:</w:t>
      </w:r>
      <w:r w:rsidDel="00000000" w:rsidR="00000000" w:rsidRPr="00000000">
        <w:rPr>
          <w:rtl w:val="0"/>
        </w:rPr>
      </w:r>
    </w:p>
    <w:p w:rsidR="00000000" w:rsidDel="00000000" w:rsidP="00000000" w:rsidRDefault="00000000" w:rsidRPr="00000000" w14:paraId="00000026">
      <w:pPr>
        <w:numPr>
          <w:ilvl w:val="0"/>
          <w:numId w:val="3"/>
        </w:numPr>
        <w:ind w:left="720" w:hanging="360"/>
        <w:rPr>
          <w:sz w:val="22"/>
          <w:szCs w:val="22"/>
        </w:rPr>
      </w:pPr>
      <w:r w:rsidDel="00000000" w:rsidR="00000000" w:rsidRPr="00000000">
        <w:rPr>
          <w:sz w:val="22"/>
          <w:szCs w:val="22"/>
          <w:rtl w:val="0"/>
        </w:rPr>
        <w:t xml:space="preserve">Failure to comply with this SOP may result in discrimination, harassment, and legal action against our organization.</w:t>
      </w:r>
    </w:p>
    <w:p w:rsidR="00000000" w:rsidDel="00000000" w:rsidP="00000000" w:rsidRDefault="00000000" w:rsidRPr="00000000" w14:paraId="00000027">
      <w:pPr>
        <w:numPr>
          <w:ilvl w:val="0"/>
          <w:numId w:val="3"/>
        </w:numPr>
        <w:ind w:left="720" w:hanging="360"/>
        <w:rPr>
          <w:sz w:val="22"/>
          <w:szCs w:val="22"/>
        </w:rPr>
      </w:pPr>
      <w:r w:rsidDel="00000000" w:rsidR="00000000" w:rsidRPr="00000000">
        <w:rPr>
          <w:sz w:val="22"/>
          <w:szCs w:val="22"/>
          <w:rtl w:val="0"/>
        </w:rPr>
        <w:t xml:space="preserve">Failure to foster a culture of inclusion may result in high turnover rates, low employee morale, and decreased productivity.</w:t>
      </w:r>
    </w:p>
    <w:p w:rsidR="00000000" w:rsidDel="00000000" w:rsidP="00000000" w:rsidRDefault="00000000" w:rsidRPr="00000000" w14:paraId="00000028">
      <w:pPr>
        <w:numPr>
          <w:ilvl w:val="0"/>
          <w:numId w:val="3"/>
        </w:numPr>
        <w:ind w:left="720" w:hanging="360"/>
        <w:rPr>
          <w:sz w:val="22"/>
          <w:szCs w:val="22"/>
        </w:rPr>
      </w:pPr>
      <w:r w:rsidDel="00000000" w:rsidR="00000000" w:rsidRPr="00000000">
        <w:rPr>
          <w:sz w:val="22"/>
          <w:szCs w:val="22"/>
          <w:rtl w:val="0"/>
        </w:rPr>
        <w:t xml:space="preserve">Failure to address and prevent discrimination and harassment may lead to negative impacts on our reputation and relations with clients and partners.</w:t>
        <w:br w:type="textWrapping"/>
      </w:r>
    </w:p>
    <w:p w:rsidR="00000000" w:rsidDel="00000000" w:rsidP="00000000" w:rsidRDefault="00000000" w:rsidRPr="00000000" w14:paraId="00000029">
      <w:pPr>
        <w:rPr>
          <w:sz w:val="22"/>
          <w:szCs w:val="22"/>
        </w:rPr>
      </w:pPr>
      <w:r w:rsidDel="00000000" w:rsidR="00000000" w:rsidRPr="00000000">
        <w:rPr>
          <w:b w:val="1"/>
          <w:sz w:val="22"/>
          <w:szCs w:val="22"/>
          <w:rtl w:val="0"/>
        </w:rPr>
        <w:t xml:space="preserve">Disclaimer:</w:t>
      </w:r>
      <w:r w:rsidDel="00000000" w:rsidR="00000000" w:rsidRPr="00000000">
        <w:rPr>
          <w:sz w:val="22"/>
          <w:szCs w:val="22"/>
          <w:rtl w:val="0"/>
        </w:rPr>
        <w:t xml:space="preserve">This SOP is intended as a guide and should be adapted to the specific needs of the organization. It should be used in conjunction with relevant laws and regulations, as well as organizational policies and procedures. </w:t>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rFonts w:ascii="Trebuchet MS" w:cs="Trebuchet MS" w:eastAsia="Trebuchet MS" w:hAnsi="Trebuchet MS"/>
          <w:sz w:val="32"/>
          <w:szCs w:val="32"/>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ExtraBold">
    <w:embedBold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jc w:val="right"/>
      <w:rPr/>
    </w:pPr>
    <w:hyperlink r:id="rId1">
      <w:r w:rsidDel="00000000" w:rsidR="00000000" w:rsidRPr="00000000">
        <w:rPr>
          <w:color w:val="1155cc"/>
          <w:u w:val="single"/>
          <w:rtl w:val="0"/>
        </w:rPr>
        <w:t xml:space="preserve">membership.chrmp.com </w:t>
      </w:r>
    </w:hyperlink>
    <w:r w:rsidDel="00000000" w:rsidR="00000000" w:rsidRPr="00000000">
      <w:rPr>
        <w:rtl w:val="0"/>
      </w:rPr>
      <w:t xml:space="preserve">                                                                               </w:t>
    </w:r>
    <w:r w:rsidDel="00000000" w:rsidR="00000000" w:rsidRPr="00000000">
      <w:rPr/>
      <w:drawing>
        <wp:inline distB="114300" distT="114300" distL="114300" distR="114300">
          <wp:extent cx="857250" cy="457200"/>
          <wp:effectExtent b="0" l="0" r="0" t="0"/>
          <wp:docPr id="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57250" cy="4572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drawing>
        <wp:anchor allowOverlap="1" behindDoc="0" distB="0" distT="0" distL="0" distR="0" hidden="0" layoutInCell="1" locked="0" relativeHeight="0" simplePos="0">
          <wp:simplePos x="0" y="0"/>
          <wp:positionH relativeFrom="page">
            <wp:posOffset>38100</wp:posOffset>
          </wp:positionH>
          <wp:positionV relativeFrom="page">
            <wp:posOffset>-9524</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ExtraBold-bold.ttf"/><Relationship Id="rId6" Type="http://schemas.openxmlformats.org/officeDocument/2006/relationships/font" Target="fonts/OpenSansExtraBold-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membership.chrmp.com" TargetMode="External"/><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